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>
      <w:pPr>
        <w:jc w:val="center"/>
        <w:rPr>
          <w:rFonts w:hint="eastAsia" w:ascii="黑体" w:hAnsi="黑体" w:eastAsia="黑体" w:cs="黑体"/>
          <w:b/>
          <w:sz w:val="68"/>
          <w:szCs w:val="68"/>
        </w:rPr>
      </w:pPr>
      <w:bookmarkStart w:id="0" w:name="_Hlk500511681"/>
      <w:r>
        <w:rPr>
          <w:rFonts w:hint="eastAsia" w:ascii="黑体" w:hAnsi="黑体" w:eastAsia="黑体" w:cs="黑体"/>
          <w:b/>
          <w:sz w:val="68"/>
          <w:szCs w:val="68"/>
        </w:rPr>
        <w:t>中国科协系统综合统计平台</w:t>
      </w:r>
      <w:bookmarkEnd w:id="0"/>
    </w:p>
    <w:p>
      <w:pPr>
        <w:jc w:val="center"/>
        <w:rPr>
          <w:rFonts w:hint="eastAsia" w:ascii="黑体" w:hAnsi="黑体" w:eastAsia="黑体" w:cs="黑体"/>
          <w:b/>
          <w:sz w:val="68"/>
          <w:szCs w:val="68"/>
        </w:rPr>
      </w:pPr>
      <w:r>
        <w:rPr>
          <w:rFonts w:hint="eastAsia" w:ascii="黑体" w:hAnsi="黑体" w:eastAsia="黑体" w:cs="黑体"/>
          <w:b/>
          <w:sz w:val="68"/>
          <w:szCs w:val="68"/>
          <w:lang w:val="en-US" w:eastAsia="zh-CN"/>
        </w:rPr>
        <w:t>填报</w:t>
      </w:r>
      <w:r>
        <w:rPr>
          <w:rFonts w:hint="eastAsia" w:ascii="黑体" w:hAnsi="黑体" w:eastAsia="黑体" w:cs="黑体"/>
          <w:b/>
          <w:sz w:val="68"/>
          <w:szCs w:val="68"/>
        </w:rPr>
        <w:t>用户操作手册</w:t>
      </w:r>
    </w:p>
    <w:p>
      <w:pPr>
        <w:jc w:val="center"/>
        <w:rPr>
          <w:rFonts w:hint="eastAsia" w:ascii="黑体" w:hAnsi="黑体" w:eastAsia="黑体" w:cs="黑体"/>
          <w:b/>
          <w:sz w:val="68"/>
          <w:szCs w:val="68"/>
        </w:rPr>
      </w:pPr>
    </w:p>
    <w:p>
      <w:pPr>
        <w:jc w:val="center"/>
        <w:rPr>
          <w:rFonts w:hint="eastAsia" w:ascii="微软雅黑" w:hAnsi="微软雅黑" w:eastAsia="微软雅黑"/>
          <w:b/>
          <w:sz w:val="56"/>
          <w:szCs w:val="48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北京久其软件股份有限公司</w:t>
      </w:r>
    </w:p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2017年12月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29</w:t>
      </w:r>
      <w:r>
        <w:rPr>
          <w:rFonts w:hint="eastAsia" w:ascii="黑体" w:hAnsi="黑体" w:eastAsia="黑体" w:cs="黑体"/>
          <w:sz w:val="32"/>
          <w:szCs w:val="32"/>
        </w:rPr>
        <w:t>日</w:t>
      </w:r>
    </w:p>
    <w:p>
      <w:pPr>
        <w:jc w:val="center"/>
        <w:rPr>
          <w:rFonts w:ascii="黑体" w:hAnsi="黑体" w:eastAsia="黑体" w:cs="黑体"/>
          <w:b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</w:p>
    <w:p>
      <w:pPr>
        <w:jc w:val="center"/>
        <w:rPr>
          <w:rFonts w:ascii="黑体" w:hAnsi="黑体" w:eastAsia="黑体" w:cs="黑体"/>
          <w:b/>
          <w:sz w:val="36"/>
          <w:szCs w:val="36"/>
        </w:rPr>
      </w:pPr>
    </w:p>
    <w:p>
      <w:pPr>
        <w:jc w:val="center"/>
        <w:rPr>
          <w:rFonts w:ascii="黑体" w:hAnsi="黑体" w:eastAsia="黑体" w:cs="黑体"/>
          <w:b/>
          <w:sz w:val="36"/>
          <w:szCs w:val="36"/>
        </w:rPr>
      </w:pPr>
    </w:p>
    <w:p>
      <w:pPr>
        <w:jc w:val="center"/>
        <w:rPr>
          <w:rFonts w:ascii="黑体" w:hAnsi="黑体" w:eastAsia="黑体" w:cs="黑体"/>
          <w:b/>
          <w:bCs w:val="0"/>
          <w:sz w:val="32"/>
          <w:szCs w:val="32"/>
        </w:rPr>
      </w:pPr>
    </w:p>
    <w:p>
      <w:pPr>
        <w:jc w:val="center"/>
        <w:rPr>
          <w:rFonts w:hint="eastAsia" w:ascii="黑体" w:hAnsi="黑体" w:eastAsia="黑体" w:cs="黑体"/>
          <w:b/>
          <w:bCs w:val="0"/>
          <w:sz w:val="44"/>
          <w:szCs w:val="44"/>
        </w:rPr>
      </w:pPr>
      <w:r>
        <w:rPr>
          <w:rFonts w:hint="eastAsia" w:ascii="黑体" w:hAnsi="黑体" w:eastAsia="黑体" w:cs="黑体"/>
          <w:b/>
          <w:bCs w:val="0"/>
          <w:sz w:val="44"/>
          <w:szCs w:val="44"/>
        </w:rPr>
        <w:t>目</w:t>
      </w:r>
      <w:r>
        <w:rPr>
          <w:rFonts w:hint="eastAsia" w:ascii="黑体" w:hAnsi="黑体" w:eastAsia="黑体" w:cs="黑体"/>
          <w:b/>
          <w:bCs w:val="0"/>
          <w:sz w:val="44"/>
          <w:szCs w:val="44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 w:val="0"/>
          <w:sz w:val="44"/>
          <w:szCs w:val="44"/>
        </w:rPr>
        <w:t xml:space="preserve"> 录</w:t>
      </w:r>
    </w:p>
    <w:p>
      <w:pPr>
        <w:jc w:val="center"/>
        <w:rPr>
          <w:rFonts w:hint="eastAsia" w:ascii="黑体" w:hAnsi="黑体" w:eastAsia="黑体" w:cs="黑体"/>
          <w:b/>
          <w:bCs w:val="0"/>
          <w:sz w:val="44"/>
          <w:szCs w:val="44"/>
        </w:rPr>
      </w:pPr>
    </w:p>
    <w:p>
      <w:pPr>
        <w:pStyle w:val="20"/>
        <w:tabs>
          <w:tab w:val="right" w:leader="dot" w:pos="8306"/>
        </w:tabs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TOC \o "1-3" \h \z \u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HYPERLINK \l _Toc24164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1 填报单位操作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ab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PAGEREF _Toc24164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- 1 -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</w:p>
    <w:p>
      <w:pPr>
        <w:pStyle w:val="23"/>
        <w:tabs>
          <w:tab w:val="right" w:leader="dot" w:pos="8306"/>
        </w:tabs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HYPERLINK \l _Toc14154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1.1 系统登录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ab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PAGEREF _Toc14154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- 1 -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</w:p>
    <w:p>
      <w:pPr>
        <w:pStyle w:val="23"/>
        <w:tabs>
          <w:tab w:val="right" w:leader="dot" w:pos="8306"/>
        </w:tabs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HYPERLINK \l _Toc2811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1.2 密码修改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ab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PAGEREF _Toc2811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- 1 -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</w:p>
    <w:p>
      <w:pPr>
        <w:pStyle w:val="23"/>
        <w:tabs>
          <w:tab w:val="right" w:leader="dot" w:pos="8306"/>
        </w:tabs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HYPERLINK \l _Toc31278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1.3 系统首页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ab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PAGEREF _Toc31278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- 3 -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</w:p>
    <w:p>
      <w:pPr>
        <w:pStyle w:val="23"/>
        <w:tabs>
          <w:tab w:val="right" w:leader="dot" w:pos="8306"/>
        </w:tabs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HYPERLINK \l _Toc7533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1.4 数据录入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ab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PAGEREF _Toc7533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- 3 -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HYPERLINK \l _Toc4635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1.4.1 台账录入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ab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PAGEREF _Toc4635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- 4 -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HYPERLINK \l _Toc17925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1.4.2 数据录入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ab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PAGEREF _Toc17925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- 12 -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HYPERLINK \l _Toc11485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 xml:space="preserve">1.4.3 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  <w:lang w:val="en-US" w:eastAsia="zh-CN"/>
        </w:rPr>
        <w:t>统计报表填报注意事项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ab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PAGEREF _Toc11485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- 15 -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HYPERLINK \l _Toc1859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1.4.4 常见问题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ab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instrText xml:space="preserve"> PAGEREF _Toc1859 </w:instrTex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t>- 18 -</w:t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i w:val="0"/>
          <w:iCs w:val="0"/>
          <w:sz w:val="32"/>
          <w:szCs w:val="32"/>
        </w:rPr>
        <w:fldChar w:fldCharType="end"/>
      </w:r>
    </w:p>
    <w:p>
      <w:pPr>
        <w:pStyle w:val="2"/>
        <w:pageBreakBefore/>
        <w:ind w:left="431" w:hanging="431"/>
        <w:rPr>
          <w:rFonts w:ascii="黑体" w:hAnsi="黑体" w:eastAsia="黑体" w:cs="黑体"/>
          <w:sz w:val="32"/>
          <w:szCs w:val="32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  <w:bookmarkStart w:id="1" w:name="_Toc502174971"/>
    </w:p>
    <w:p>
      <w:pPr>
        <w:pStyle w:val="2"/>
        <w:pageBreakBefore/>
        <w:spacing w:before="0" w:beforeLines="0" w:after="0" w:afterLines="0" w:line="580" w:lineRule="exact"/>
        <w:ind w:left="431" w:hanging="431"/>
        <w:rPr>
          <w:rFonts w:hint="eastAsia" w:ascii="黑体" w:hAnsi="黑体" w:eastAsia="黑体" w:cs="黑体"/>
          <w:i w:val="0"/>
          <w:iCs w:val="0"/>
          <w:sz w:val="44"/>
          <w:szCs w:val="44"/>
        </w:rPr>
      </w:pPr>
      <w:bookmarkStart w:id="2" w:name="_Toc24164"/>
      <w:r>
        <w:rPr>
          <w:rFonts w:hint="eastAsia" w:ascii="黑体" w:hAnsi="黑体" w:eastAsia="黑体" w:cs="黑体"/>
          <w:i w:val="0"/>
          <w:iCs w:val="0"/>
          <w:sz w:val="44"/>
          <w:szCs w:val="44"/>
        </w:rPr>
        <w:t>填报单位操作</w:t>
      </w:r>
      <w:bookmarkEnd w:id="1"/>
      <w:bookmarkEnd w:id="2"/>
    </w:p>
    <w:p>
      <w:pPr>
        <w:pStyle w:val="3"/>
        <w:spacing w:before="0" w:beforeLines="0" w:after="0" w:afterLines="0" w:line="580" w:lineRule="exact"/>
        <w:rPr>
          <w:rFonts w:hint="eastAsia" w:ascii="楷体" w:hAnsi="楷体" w:eastAsia="楷体" w:cs="楷体"/>
          <w:i w:val="0"/>
          <w:iCs w:val="0"/>
        </w:rPr>
      </w:pPr>
      <w:bookmarkStart w:id="3" w:name="_Toc14154"/>
      <w:bookmarkStart w:id="4" w:name="_Toc502174972"/>
      <w:r>
        <w:rPr>
          <w:rFonts w:hint="eastAsia" w:ascii="楷体" w:hAnsi="楷体" w:eastAsia="楷体" w:cs="楷体"/>
          <w:i w:val="0"/>
          <w:iCs w:val="0"/>
        </w:rPr>
        <w:t>系统登录</w:t>
      </w:r>
      <w:bookmarkEnd w:id="3"/>
      <w:bookmarkEnd w:id="4"/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输入网址http://kxtj.cast.org.cn登录“中国科协系统综合统计平台”,在登录界面出现登录对话框：</w:t>
      </w:r>
    </w:p>
    <w:p>
      <w:pPr>
        <w:spacing w:beforeLines="0" w:afterLines="0" w:line="240" w:lineRule="auto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3429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在登录对话框里输入用户名和密码，用户名默认为各填报单位的组织代码，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  <w:t>初始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密码同用户名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。输入后点击登录即可。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用户名和密码管理详见常见问题）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组织代码一般编码规则：除特殊情况，科协组织代码采用国家统计局统一编码规则，由地区编码+单位编码组成；学会组织代码由学会序列简码+单位编码组成。</w:t>
      </w:r>
      <w:bookmarkStart w:id="18" w:name="_GoBack"/>
      <w:bookmarkEnd w:id="18"/>
    </w:p>
    <w:p>
      <w:pPr>
        <w:pStyle w:val="3"/>
        <w:spacing w:before="0" w:beforeLines="0" w:after="0" w:afterLines="0" w:line="580" w:lineRule="exact"/>
        <w:rPr>
          <w:rFonts w:hint="eastAsia" w:ascii="楷体" w:hAnsi="楷体" w:eastAsia="楷体" w:cs="楷体"/>
          <w:i w:val="0"/>
          <w:iCs w:val="0"/>
        </w:rPr>
      </w:pPr>
      <w:bookmarkStart w:id="5" w:name="_Toc502174973"/>
      <w:bookmarkStart w:id="6" w:name="_Toc2811"/>
      <w:r>
        <w:rPr>
          <w:rFonts w:hint="eastAsia" w:ascii="楷体" w:hAnsi="楷体" w:eastAsia="楷体" w:cs="楷体"/>
          <w:i w:val="0"/>
          <w:iCs w:val="0"/>
        </w:rPr>
        <w:t>密码修改</w:t>
      </w:r>
      <w:bookmarkEnd w:id="5"/>
      <w:bookmarkEnd w:id="6"/>
      <w:r>
        <w:rPr>
          <w:rFonts w:hint="eastAsia" w:ascii="楷体" w:hAnsi="楷体" w:eastAsia="楷体" w:cs="楷体"/>
          <w:i w:val="0"/>
          <w:iCs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对于首次登录系统的用户，会弹出【首次登录-修改密码】对话框。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36290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用户需要将新密码输入，然后确认密码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请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按照密码要求更改密码。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如果用户需要再次修改密码，可以在登录系统后，点击系统的右上角的【修改密码】按钮进行修改。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19202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25253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</w:p>
    <w:p>
      <w:pPr>
        <w:pStyle w:val="3"/>
        <w:spacing w:before="0" w:beforeLines="0" w:after="0" w:afterLines="0" w:line="580" w:lineRule="exact"/>
        <w:rPr>
          <w:rFonts w:hint="eastAsia" w:ascii="楷体" w:hAnsi="楷体" w:eastAsia="楷体" w:cs="楷体"/>
          <w:i w:val="0"/>
          <w:iCs w:val="0"/>
        </w:rPr>
      </w:pPr>
      <w:bookmarkStart w:id="7" w:name="_Toc502174974"/>
      <w:bookmarkStart w:id="8" w:name="_Toc31278"/>
      <w:r>
        <w:rPr>
          <w:rFonts w:hint="eastAsia" w:ascii="楷体" w:hAnsi="楷体" w:eastAsia="楷体" w:cs="楷体"/>
          <w:i w:val="0"/>
          <w:iCs w:val="0"/>
        </w:rPr>
        <w:t>系统首页</w:t>
      </w:r>
      <w:bookmarkEnd w:id="7"/>
      <w:bookmarkEnd w:id="8"/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填报单位在登录系统后，可以看到系统首页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首页有通知公告、政策法规、下载专区、待办事项、上报情况展示、常见问题组成。</w:t>
      </w:r>
    </w:p>
    <w:p>
      <w:pPr>
        <w:pStyle w:val="3"/>
        <w:spacing w:before="0" w:beforeLines="0" w:after="0" w:afterLines="0" w:line="580" w:lineRule="exact"/>
        <w:rPr>
          <w:rFonts w:hint="eastAsia" w:ascii="楷体" w:hAnsi="楷体" w:eastAsia="楷体" w:cs="楷体"/>
          <w:i w:val="0"/>
          <w:iCs w:val="0"/>
        </w:rPr>
      </w:pPr>
      <w:bookmarkStart w:id="9" w:name="_Toc502174975"/>
      <w:bookmarkStart w:id="10" w:name="_Toc7533"/>
      <w:r>
        <w:rPr>
          <w:rFonts w:hint="eastAsia" w:ascii="楷体" w:hAnsi="楷体" w:eastAsia="楷体" w:cs="楷体"/>
          <w:i w:val="0"/>
          <w:iCs w:val="0"/>
        </w:rPr>
        <w:t>数据录入</w:t>
      </w:r>
      <w:bookmarkEnd w:id="9"/>
      <w:bookmarkEnd w:id="10"/>
    </w:p>
    <w:p>
      <w:pPr>
        <w:spacing w:beforeLines="0" w:afterLines="0" w:line="580" w:lineRule="exact"/>
        <w:ind w:firstLine="649" w:firstLineChars="202"/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  <w:t>2017年度中国科协系统综合统计采用台帐录入方式。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点击系统上方的【数据录入】：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21412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在数据录入界面，左侧功能树里分为【台账录入】和【数据录入】。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填报用户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依靠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填写【台账录入】里的报表，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自动运算生成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【数据录入】里的报表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数据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。</w:t>
      </w:r>
    </w:p>
    <w:p>
      <w:pPr>
        <w:pStyle w:val="4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</w:rPr>
      </w:pPr>
      <w:bookmarkStart w:id="11" w:name="_Toc4635"/>
      <w:bookmarkStart w:id="12" w:name="_Toc502174976"/>
      <w:r>
        <w:rPr>
          <w:rFonts w:hint="eastAsia" w:ascii="仿宋_GB2312" w:hAnsi="仿宋_GB2312" w:eastAsia="仿宋_GB2312" w:cs="仿宋_GB2312"/>
          <w:i w:val="0"/>
          <w:iCs w:val="0"/>
        </w:rPr>
        <w:t>台账录入</w:t>
      </w:r>
      <w:bookmarkEnd w:id="11"/>
      <w:bookmarkEnd w:id="12"/>
    </w:p>
    <w:p>
      <w:pPr>
        <w:pStyle w:val="5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2017年度报表录入范围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2017年度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统计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报表：1-1组织建设(科协)，1-2组织建设（学会），3为科技工作者服务，4服务创新驱动发展，5学术交流活动，6科技期刊，7科技开放与交流，8科学技术普及活动，9青少年科技教育，10科普基础设施建设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科协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，11科技传播，12科技创新智库建设，其中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科协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  <w:t>填报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用户不需要录入1-2组织建设（学会）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学会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  <w:t>填报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用户不需要录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  <w:t>入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1-1组织建设(科协)，10科普基础设施建设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。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与往年不同的是8科学技术普及活动里的科技日、科技周、日常、其它这几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项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指标不需要填写，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已经做隐藏处理。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177228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同时，科协用户在【数据录入】里也不需要填写以下两个指标：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145288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台帐操作方法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点击【台账录入】按钮，出现报表填报界面：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25133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用户需要将报表分组下的报表都填写完毕，按个填写，保存，审核。由于本系统的报表分组较多，可以点击报表分组右边的下拉三角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228600" cy="2667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18281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由于有的分组里的报表较多，可点击右边的双三角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314325" cy="2476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进行下拉切换报表：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24676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台账表内自动增行</w:t>
      </w:r>
    </w:p>
    <w:p>
      <w:pPr>
        <w:spacing w:beforeLines="0" w:afterLines="0" w:line="580" w:lineRule="exact"/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用户在录入台账时，系统默认显示一行，在填完一行后，一般会自动增行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t>。</w:t>
      </w:r>
    </w:p>
    <w:p>
      <w:pPr>
        <w:spacing w:beforeLines="0" w:afterLines="0" w:line="580" w:lineRule="exact"/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台账未填写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状态时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如果需要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先增加需要填写的表格再录入，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可以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点击【序号】，或者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在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指标上双击，即可增行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10175" cy="21336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也可以在单元格上右击鼠标，选择【后插一行】或者【前插一行】：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4791075" cy="39243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</w:p>
    <w:p>
      <w:pPr>
        <w:pStyle w:val="44"/>
        <w:numPr>
          <w:ilvl w:val="0"/>
          <w:numId w:val="2"/>
        </w:numPr>
        <w:spacing w:beforeLines="0" w:afterLines="0" w:line="580" w:lineRule="exact"/>
        <w:ind w:firstLineChars="0"/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需要说明的是，用户应仔细阅读本系统报表制度，深刻理解每个指标含义，再进行填报。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  <w:t>例如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“学会从业人员”这张表，用户只需要在单元格内如实填写数据即可，此类只统计一行数据的表是不会自动增行的。</w:t>
      </w:r>
    </w:p>
    <w:p>
      <w:pPr>
        <w:pStyle w:val="4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16560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保存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报表填写完成后，点击工具栏里的【保存】。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21348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保存后弹出提示框，点击确定即可。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198564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保存后的数据可以修改。找到需要修改的报表和指标，双击指标进行修改，修改后保存即可。</w:t>
      </w:r>
    </w:p>
    <w:p>
      <w:pPr>
        <w:pStyle w:val="5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审核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对于保存后的数据，用户需要进行审核，点击工具栏里的【审核】按钮：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27070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highlight w:val="red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highlight w:val="red"/>
        </w:rPr>
        <w:t>审核提示</w:t>
      </w:r>
    </w:p>
    <w:p>
      <w:pPr>
        <w:spacing w:beforeLines="0" w:afterLines="0" w:line="580" w:lineRule="exact"/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为了保证数据质量，避免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漏报或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重复填报，台账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内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置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了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审核公式。在填报保存后，用户需要点击审核，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227393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在点击审核后，若数据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异常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，会弹出【提示】框，同时在报表下方会显示审核信息对话框。</w:t>
      </w:r>
    </w:p>
    <w:p>
      <w:pPr>
        <w:spacing w:beforeLines="0" w:afterLines="0" w:line="580" w:lineRule="exact"/>
        <w:ind w:firstLine="643" w:firstLineChars="200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第二列类型为蓝色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drawing>
          <wp:inline distT="0" distB="0" distL="0" distR="0">
            <wp:extent cx="314325" cy="27622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，属于提示信息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例如，超过临界值50%之类的情况，这种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不属于错误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。本功能设计旨在提醒重大数据变动，如果数量级较小，例如1变为2，导致越界提醒，可以忽视；如果数量级较大，例如财政经费20万元变为200000万元，则通常是错误，请修正！如果某项活动数量级较大，但属于事业发展亮点，增幅确实超过50%，可以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通过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添加批注或在上报报表说明中进行说明，此类问题不会影响上报。</w:t>
      </w:r>
    </w:p>
    <w:p>
      <w:pPr>
        <w:spacing w:beforeLines="0" w:afterLines="0" w:line="580" w:lineRule="exact"/>
        <w:ind w:firstLine="643" w:firstLineChars="200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第二列类型为红色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drawing>
          <wp:inline distT="0" distB="0" distL="0" distR="0">
            <wp:extent cx="304800" cy="3905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，属于错误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  <w:t>信息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一般需要核实改正后才能进行上报成功。</w:t>
      </w:r>
    </w:p>
    <w:p>
      <w:pPr>
        <w:spacing w:beforeLines="0" w:afterLines="0" w:line="580" w:lineRule="exact"/>
        <w:ind w:firstLine="643" w:firstLineChars="200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若错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  <w:t>提示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信息比较多，一般可以将错误信息优先过滤出来进行处理，可以在审核信息对话框内点击公式过滤图标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drawing>
          <wp:inline distT="0" distB="0" distL="0" distR="0">
            <wp:extent cx="495300" cy="2095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然后选择错误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40" w:leftChars="0" w:right="0" w:rightChars="0" w:hanging="640" w:hanging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892175"/>
            <wp:effectExtent l="0" t="0" r="254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这样就会把错误公式过滤出来，可以优先处理。</w:t>
      </w:r>
    </w:p>
    <w:p>
      <w:pPr>
        <w:spacing w:beforeLines="0" w:afterLines="0" w:line="580" w:lineRule="exact"/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在处理后再次点击审核，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如果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审核信息框没有及时更新审核信息，可以点击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清除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按钮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419100" cy="2857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将审核信息全部清除，再次审核即可得到新的审核结果。</w:t>
      </w:r>
    </w:p>
    <w:p>
      <w:pPr>
        <w:spacing w:beforeLines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</w:p>
    <w:p>
      <w:pPr>
        <w:pStyle w:val="5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批注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对于被退回的报表，上级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审核单位可以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对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疑问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指标进行批注，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填报用户可以查看上级审核单位批注。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点击工具栏中的【批注】按钮，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26435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显示所有批注，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查看所有的批注。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同时用户可以对某些异常的指标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新建批注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解释数据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异常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原因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点击【批注】里的【新建批注】：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29165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填写批注后，确定，就会发现被批注的指标的右上角有个红色的三角角标：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176403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</w:p>
    <w:p>
      <w:pPr>
        <w:pStyle w:val="4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</w:rPr>
      </w:pPr>
      <w:bookmarkStart w:id="13" w:name="_Toc502174977"/>
      <w:bookmarkStart w:id="14" w:name="_Toc17925"/>
      <w:r>
        <w:rPr>
          <w:rFonts w:hint="eastAsia" w:ascii="仿宋_GB2312" w:hAnsi="仿宋_GB2312" w:eastAsia="仿宋_GB2312" w:cs="仿宋_GB2312"/>
          <w:i w:val="0"/>
          <w:iCs w:val="0"/>
        </w:rPr>
        <w:t>数据录入</w:t>
      </w:r>
      <w:bookmarkEnd w:id="13"/>
      <w:bookmarkEnd w:id="14"/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点击【数据录入】按钮：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233934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首次进行填报的用户需要将报表栏目里的封面代码表完善。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统一社会信用代码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是</w:t>
      </w:r>
      <w:r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由国家标准委发布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的长度为18位的用于法人和其他组织</w:t>
      </w:r>
      <w:r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instrText xml:space="preserve"> HYPERLINK "https://baike.baidu.com/item/%E8%BA%AB%E4%BB%BD%E8%AF%86%E5%88%AB" \t "https://baike.baidu.com/item/%E7%BB%9F%E4%B8%80%E7%A4%BE%E4%BC%9A%E4%BF%A1%E7%94%A8%E4%BB%A3%E7%A0%81/_blank" </w:instrText>
      </w:r>
      <w:r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身份识别</w:t>
      </w:r>
      <w:r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的代码。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如果没有统一社会信用代码，有机构代码证，可以通过在机构代码证前补充0进行填写，例如：机构代码证为“123456789”，那么应填写“000000000123456789”。如果没有</w:t>
      </w:r>
      <w:r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统一社会信用代码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和机构代码证的部门或单位等，可以填写18位“0”，即“000000000000000000”。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填报日期以单位负责人签发日期为准。</w:t>
      </w:r>
    </w:p>
    <w:p>
      <w:pPr>
        <w:pStyle w:val="5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报表数据提取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切换到【数据录入】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中的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报表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【数据录入】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中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工具栏里的【运算】按钮：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28219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点击确定按钮，就将数据取过来了。</w:t>
      </w:r>
    </w:p>
    <w:p>
      <w:pPr>
        <w:pStyle w:val="5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审核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对于取过来的数据，需要进一步进行审核。点击工具栏里的【审核】按钮：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2418715"/>
            <wp:effectExtent l="0" t="0" r="2540" b="635"/>
            <wp:docPr id="31" name="图片 31" descr="C:\Users\lina321\Documents\Tencent Files\334111044\Image\C2C\}~9[2UY_G{)VF3P`}X`)P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lina321\Documents\Tencent Files\334111044\Image\C2C\}~9[2UY_G{)VF3P`}X`)P0C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若数据存在问题，会在报表下发的审核信息栏里会出现公式说明。系统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设置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本年实际的数据比上年对照的数据增减幅不超过50%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的临界提示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若发现这个提示，同时上年对照没有数据的话，就可以忽略这个提示，若上年对照有数据则需要核实，可以在错误说明中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补充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指标异常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原因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318516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若审核没有错误，则提示审核通过：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243459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</w:p>
    <w:p>
      <w:pPr>
        <w:spacing w:beforeLines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</w:p>
    <w:p>
      <w:pPr>
        <w:pStyle w:val="4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</w:rPr>
      </w:pPr>
      <w:bookmarkStart w:id="15" w:name="_Toc11485"/>
      <w:r>
        <w:rPr>
          <w:rFonts w:hint="eastAsia" w:ascii="仿宋_GB2312" w:hAnsi="仿宋_GB2312" w:eastAsia="仿宋_GB2312" w:cs="仿宋_GB2312"/>
          <w:i w:val="0"/>
          <w:iCs w:val="0"/>
          <w:lang w:val="en-US" w:eastAsia="zh-CN"/>
        </w:rPr>
        <w:t>统计报表填报注意事项</w:t>
      </w:r>
      <w:bookmarkEnd w:id="15"/>
    </w:p>
    <w:p>
      <w:pPr>
        <w:spacing w:beforeLines="0" w:afterLines="0" w:line="580" w:lineRule="exact"/>
        <w:ind w:firstLine="640" w:firstLineChars="200"/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1.各填报单位</w:t>
      </w:r>
      <w:r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必须按规定的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报表</w:t>
      </w:r>
      <w:r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目录、代码顺序、计算单位及指标解释的要求填报。 </w:t>
      </w:r>
    </w:p>
    <w:p>
      <w:pPr>
        <w:spacing w:beforeLines="0" w:afterLines="0" w:line="580" w:lineRule="exact"/>
        <w:ind w:firstLine="646" w:firstLineChars="202"/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2.各填报单位要</w:t>
      </w:r>
      <w:r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严格按照每张表的逻辑关系审核，审核有数据逻辑关系不符的，一定要在上报时用文字说明。 </w:t>
      </w:r>
    </w:p>
    <w:p>
      <w:pPr>
        <w:spacing w:beforeLines="0" w:afterLines="0" w:line="580" w:lineRule="exact"/>
        <w:ind w:firstLine="646" w:firstLineChars="202"/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3.各填报单位</w:t>
      </w:r>
      <w:r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要严格认真审核，审核无误后加盖单位公章，经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单位</w:t>
      </w:r>
      <w:r>
        <w:rPr>
          <w:rFonts w:hint="default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负责人签字盖章后方可报出，不得虚报、瞒报。 </w:t>
      </w:r>
    </w:p>
    <w:p>
      <w:pPr>
        <w:pStyle w:val="5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上报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对于审核无误的报表进行上报。点击工具栏中的【上报】按钮：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333819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确定后弹出【上报说明】对话框，此时用户可以对上报进行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简要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说明，以便上级更好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地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了解上报情况。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300545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如果没有默认为无，点击确定按钮即可。上报成功后弹出如下对话框：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321310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就说明报表已经上报成功。</w:t>
      </w:r>
    </w:p>
    <w:p>
      <w:pPr>
        <w:pStyle w:val="5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上报取回</w:t>
      </w:r>
    </w:p>
    <w:p>
      <w:pPr>
        <w:spacing w:beforeLines="0" w:afterLines="0" w:line="580" w:lineRule="exact"/>
        <w:ind w:firstLine="649" w:firstLineChars="202"/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对于已经上报后的数据，如果需要修改，可以点击工具栏中的【上报取回】按钮，先将报表取回，修改后，再进行上报即可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  <w:t>注意：上级单位已审核通过的单位数据无法取回，需要联系上级审核单位退回。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31635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357378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5274310" cy="2817495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Lines="0" w:afterLines="0"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上报后，等待上级单位审核通过后，填报结束。</w:t>
      </w:r>
    </w:p>
    <w:p>
      <w:pPr>
        <w:spacing w:beforeLines="0" w:afterLines="0"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</w:p>
    <w:p>
      <w:pPr>
        <w:pStyle w:val="4"/>
        <w:spacing w:before="0" w:beforeLines="0" w:after="0" w:afterLines="0" w:line="580" w:lineRule="exact"/>
        <w:rPr>
          <w:rFonts w:hint="eastAsia" w:ascii="楷体" w:hAnsi="楷体" w:eastAsia="楷体" w:cs="楷体"/>
          <w:i w:val="0"/>
          <w:iCs w:val="0"/>
        </w:rPr>
      </w:pPr>
      <w:bookmarkStart w:id="16" w:name="_Toc502174978"/>
      <w:bookmarkStart w:id="17" w:name="_Toc1859"/>
      <w:r>
        <w:rPr>
          <w:rFonts w:hint="eastAsia" w:ascii="楷体" w:hAnsi="楷体" w:eastAsia="楷体" w:cs="楷体"/>
          <w:i w:val="0"/>
          <w:iCs w:val="0"/>
        </w:rPr>
        <w:t>常见问题</w:t>
      </w:r>
      <w:bookmarkEnd w:id="16"/>
      <w:bookmarkEnd w:id="17"/>
    </w:p>
    <w:p>
      <w:pPr>
        <w:pStyle w:val="5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客户端事件脚本执行异常处理方法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由于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网速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服务器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浏览器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运行异常，界面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可能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会出现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eastAsia="zh-CN"/>
        </w:rPr>
        <w:t>：“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客户端事件脚本执行异常，请联系系统管理员！”的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提示信息，这时候可以直接点击确定，或者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更换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浏览器再进入系统录入。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  <w:t>特别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建议大家使用360浏览器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</w:rPr>
        <w:t>极速模式。或者火狐浏览器。</w:t>
      </w: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3" w:firstLineChars="201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drawing>
          <wp:inline distT="0" distB="0" distL="0" distR="0">
            <wp:extent cx="3819525" cy="188595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Lines="0" w:after="0" w:afterLines="0" w:line="580" w:lineRule="exac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用户名和密码管理</w:t>
      </w:r>
    </w:p>
    <w:p>
      <w:pPr>
        <w:numPr>
          <w:ilvl w:val="0"/>
          <w:numId w:val="0"/>
        </w:numPr>
        <w:spacing w:beforeLines="0" w:afterLines="0"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按照统一部署、分级负责的原则，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各全国学会负责管理本学会及其分支机构的用户名和密码；各省级科协负责管理本级科协、地市级科协、县级科协和省级学会的用户名和密码；中国科协计划财务部负责管理中国科协机关各部门、各直属单位用户名和密码。</w:t>
      </w:r>
    </w:p>
    <w:p>
      <w:pPr>
        <w:numPr>
          <w:ilvl w:val="0"/>
          <w:numId w:val="0"/>
        </w:numPr>
        <w:spacing w:beforeLines="0" w:afterLines="0"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各全国学会、各省级科协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如果需要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>用户名和密码名录，请联系技术支持团队久其公司tanxuwen@jiuqi.com.cn。邮件内容备注：申请单位名称+申请人+接收邮箱+联系方式。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或者联系QQ群里面的工作人员。</w:t>
      </w:r>
    </w:p>
    <w:p>
      <w:pPr>
        <w:numPr>
          <w:ilvl w:val="0"/>
          <w:numId w:val="0"/>
        </w:numPr>
        <w:spacing w:beforeLines="0" w:afterLines="0"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</w:p>
    <w:p>
      <w:pPr>
        <w:spacing w:beforeLines="0" w:afterLines="0" w:line="580" w:lineRule="exact"/>
        <w:ind w:firstLine="646" w:firstLineChars="202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</w:p>
    <w:sectPr>
      <w:footerReference r:id="rId6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Garamond">
    <w:altName w:val="PMingLiU"/>
    <w:panose1 w:val="02020404030301010803"/>
    <w:charset w:val="00"/>
    <w:family w:val="roman"/>
    <w:pitch w:val="default"/>
    <w:sig w:usb0="00000000" w:usb1="00000000" w:usb2="00000000" w:usb3="00000000" w:csb0="0000009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center"/>
    </w:pPr>
  </w:p>
  <w:p>
    <w:pPr>
      <w:pStyle w:val="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center"/>
    </w:pPr>
  </w:p>
  <w:p>
    <w:pPr>
      <w:pStyle w:val="1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833523168"/>
                          </w:sdtPr>
                          <w:sdtContent>
                            <w:p>
                              <w:pPr>
                                <w:pStyle w:val="18"/>
                                <w:jc w:val="center"/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仿宋_GB2312" w:hAnsi="仿宋_GB2312" w:eastAsia="仿宋_GB2312" w:cs="仿宋_GB2312"/>
                                  <w:sz w:val="32"/>
                                  <w:szCs w:val="32"/>
                                  <w:lang w:val="zh-CN"/>
                                </w:rPr>
                                <w:t>-</w:t>
                              </w:r>
                              <w:r>
                                <w:rPr>
                                  <w:rFonts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t xml:space="preserve"> 22 -</w:t>
                              </w: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A44OMx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833523168"/>
                    </w:sdtPr>
                    <w:sdtContent>
                      <w:p>
                        <w:pPr>
                          <w:pStyle w:val="18"/>
                          <w:jc w:val="center"/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fldChar w:fldCharType="begin"/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fldChar w:fldCharType="separate"/>
                        </w:r>
                        <w:r>
                          <w:rPr>
                            <w:rFonts w:ascii="仿宋_GB2312" w:hAnsi="仿宋_GB2312" w:eastAsia="仿宋_GB2312" w:cs="仿宋_GB2312"/>
                            <w:sz w:val="32"/>
                            <w:szCs w:val="32"/>
                            <w:lang w:val="zh-CN"/>
                          </w:rPr>
                          <w:t>-</w:t>
                        </w:r>
                        <w:r>
                          <w:rPr>
                            <w:rFonts w:ascii="仿宋_GB2312" w:hAnsi="仿宋_GB2312" w:eastAsia="仿宋_GB2312" w:cs="仿宋_GB2312"/>
                            <w:sz w:val="32"/>
                            <w:szCs w:val="32"/>
                          </w:rPr>
                          <w:t xml:space="preserve"> 22 -</w:t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1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none" w:color="auto" w:sz="0" w:space="1"/>
      </w:pBdr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23730"/>
    <w:multiLevelType w:val="multilevel"/>
    <w:tmpl w:val="13B23730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">
    <w:nsid w:val="33783A0C"/>
    <w:multiLevelType w:val="multilevel"/>
    <w:tmpl w:val="33783A0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9C4"/>
    <w:rsid w:val="000617D0"/>
    <w:rsid w:val="00075E9C"/>
    <w:rsid w:val="000A1439"/>
    <w:rsid w:val="000E7EB3"/>
    <w:rsid w:val="00102026"/>
    <w:rsid w:val="0014172C"/>
    <w:rsid w:val="0014617A"/>
    <w:rsid w:val="001762CC"/>
    <w:rsid w:val="001E6A2A"/>
    <w:rsid w:val="00213A0E"/>
    <w:rsid w:val="00270459"/>
    <w:rsid w:val="00273A4B"/>
    <w:rsid w:val="002A0CA2"/>
    <w:rsid w:val="002A0EBF"/>
    <w:rsid w:val="003840FD"/>
    <w:rsid w:val="00384C61"/>
    <w:rsid w:val="003B6A20"/>
    <w:rsid w:val="005A2289"/>
    <w:rsid w:val="00611940"/>
    <w:rsid w:val="00712017"/>
    <w:rsid w:val="00764B36"/>
    <w:rsid w:val="00782388"/>
    <w:rsid w:val="00794A8F"/>
    <w:rsid w:val="007A7D97"/>
    <w:rsid w:val="007E70D2"/>
    <w:rsid w:val="00815CDD"/>
    <w:rsid w:val="00821C50"/>
    <w:rsid w:val="008971CC"/>
    <w:rsid w:val="00940414"/>
    <w:rsid w:val="009673B9"/>
    <w:rsid w:val="009C4EB6"/>
    <w:rsid w:val="009D79C4"/>
    <w:rsid w:val="00A11D07"/>
    <w:rsid w:val="00A1277D"/>
    <w:rsid w:val="00A65A35"/>
    <w:rsid w:val="00A95A7C"/>
    <w:rsid w:val="00AF423F"/>
    <w:rsid w:val="00B008B5"/>
    <w:rsid w:val="00BC2C5C"/>
    <w:rsid w:val="00C041C4"/>
    <w:rsid w:val="00C06146"/>
    <w:rsid w:val="00C10A9D"/>
    <w:rsid w:val="00C12993"/>
    <w:rsid w:val="00C13313"/>
    <w:rsid w:val="00C1359C"/>
    <w:rsid w:val="00C21233"/>
    <w:rsid w:val="00CC2583"/>
    <w:rsid w:val="00D068A5"/>
    <w:rsid w:val="00D31506"/>
    <w:rsid w:val="00D515FD"/>
    <w:rsid w:val="00DB530E"/>
    <w:rsid w:val="00DF5D7A"/>
    <w:rsid w:val="00E81934"/>
    <w:rsid w:val="00E8782F"/>
    <w:rsid w:val="00EC0A4F"/>
    <w:rsid w:val="00F00394"/>
    <w:rsid w:val="00F078A2"/>
    <w:rsid w:val="00F33776"/>
    <w:rsid w:val="00FF314A"/>
    <w:rsid w:val="02352B87"/>
    <w:rsid w:val="02A87F87"/>
    <w:rsid w:val="12991637"/>
    <w:rsid w:val="13BE5393"/>
    <w:rsid w:val="272126CA"/>
    <w:rsid w:val="5DC2179E"/>
    <w:rsid w:val="636F539D"/>
    <w:rsid w:val="642E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2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4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5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6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7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8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5">
    <w:name w:val="Default Paragraph Font"/>
    <w:unhideWhenUsed/>
    <w:qFormat/>
    <w:uiPriority w:val="1"/>
  </w:style>
  <w:style w:type="table" w:default="1" w:styleId="2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42"/>
    <w:unhideWhenUsed/>
    <w:qFormat/>
    <w:uiPriority w:val="99"/>
    <w:rPr>
      <w:b/>
      <w:bCs/>
    </w:rPr>
  </w:style>
  <w:style w:type="paragraph" w:styleId="12">
    <w:name w:val="annotation text"/>
    <w:basedOn w:val="1"/>
    <w:link w:val="41"/>
    <w:unhideWhenUsed/>
    <w:qFormat/>
    <w:uiPriority w:val="99"/>
    <w:pPr>
      <w:jc w:val="left"/>
    </w:pPr>
  </w:style>
  <w:style w:type="paragraph" w:styleId="13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14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5">
    <w:name w:val="toc 3"/>
    <w:basedOn w:val="1"/>
    <w:next w:val="1"/>
    <w:unhideWhenUsed/>
    <w:qFormat/>
    <w:uiPriority w:val="39"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16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7">
    <w:name w:val="Balloon Text"/>
    <w:basedOn w:val="1"/>
    <w:link w:val="43"/>
    <w:unhideWhenUsed/>
    <w:qFormat/>
    <w:uiPriority w:val="99"/>
    <w:rPr>
      <w:sz w:val="18"/>
      <w:szCs w:val="18"/>
    </w:rPr>
  </w:style>
  <w:style w:type="paragraph" w:styleId="18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3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21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22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23">
    <w:name w:val="toc 2"/>
    <w:basedOn w:val="1"/>
    <w:next w:val="1"/>
    <w:unhideWhenUsed/>
    <w:qFormat/>
    <w:uiPriority w:val="39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24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character" w:styleId="26">
    <w:name w:val="FollowedHyperlink"/>
    <w:basedOn w:val="25"/>
    <w:unhideWhenUsed/>
    <w:qFormat/>
    <w:uiPriority w:val="99"/>
    <w:rPr>
      <w:color w:val="333333"/>
      <w:u w:val="none"/>
    </w:rPr>
  </w:style>
  <w:style w:type="character" w:styleId="27">
    <w:name w:val="Hyperlink"/>
    <w:basedOn w:val="2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8">
    <w:name w:val="annotation reference"/>
    <w:basedOn w:val="25"/>
    <w:unhideWhenUsed/>
    <w:uiPriority w:val="99"/>
    <w:rPr>
      <w:sz w:val="21"/>
      <w:szCs w:val="21"/>
    </w:rPr>
  </w:style>
  <w:style w:type="character" w:customStyle="1" w:styleId="30">
    <w:name w:val="标题 1 字符"/>
    <w:basedOn w:val="2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31">
    <w:name w:val="标题 2 字符"/>
    <w:basedOn w:val="2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2">
    <w:name w:val="标题 3 字符"/>
    <w:basedOn w:val="25"/>
    <w:link w:val="4"/>
    <w:qFormat/>
    <w:uiPriority w:val="9"/>
    <w:rPr>
      <w:b/>
      <w:bCs/>
      <w:sz w:val="32"/>
      <w:szCs w:val="32"/>
    </w:rPr>
  </w:style>
  <w:style w:type="character" w:customStyle="1" w:styleId="33">
    <w:name w:val="标题 4 字符"/>
    <w:basedOn w:val="2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4">
    <w:name w:val="标题 5 字符"/>
    <w:basedOn w:val="25"/>
    <w:link w:val="6"/>
    <w:semiHidden/>
    <w:qFormat/>
    <w:uiPriority w:val="9"/>
    <w:rPr>
      <w:b/>
      <w:bCs/>
      <w:sz w:val="28"/>
      <w:szCs w:val="28"/>
    </w:rPr>
  </w:style>
  <w:style w:type="character" w:customStyle="1" w:styleId="35">
    <w:name w:val="标题 6 字符"/>
    <w:basedOn w:val="25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6">
    <w:name w:val="标题 7 字符"/>
    <w:basedOn w:val="25"/>
    <w:link w:val="8"/>
    <w:semiHidden/>
    <w:qFormat/>
    <w:uiPriority w:val="9"/>
    <w:rPr>
      <w:b/>
      <w:bCs/>
      <w:sz w:val="24"/>
      <w:szCs w:val="24"/>
    </w:rPr>
  </w:style>
  <w:style w:type="character" w:customStyle="1" w:styleId="37">
    <w:name w:val="标题 8 字符"/>
    <w:basedOn w:val="25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8">
    <w:name w:val="标题 9 字符"/>
    <w:basedOn w:val="25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39">
    <w:name w:val="页眉 字符"/>
    <w:basedOn w:val="25"/>
    <w:link w:val="19"/>
    <w:qFormat/>
    <w:uiPriority w:val="99"/>
    <w:rPr>
      <w:sz w:val="18"/>
      <w:szCs w:val="18"/>
    </w:rPr>
  </w:style>
  <w:style w:type="character" w:customStyle="1" w:styleId="40">
    <w:name w:val="页脚 字符"/>
    <w:basedOn w:val="25"/>
    <w:link w:val="18"/>
    <w:qFormat/>
    <w:uiPriority w:val="99"/>
    <w:rPr>
      <w:sz w:val="18"/>
      <w:szCs w:val="18"/>
    </w:rPr>
  </w:style>
  <w:style w:type="character" w:customStyle="1" w:styleId="41">
    <w:name w:val="批注文字 字符"/>
    <w:basedOn w:val="25"/>
    <w:link w:val="12"/>
    <w:semiHidden/>
    <w:qFormat/>
    <w:uiPriority w:val="99"/>
    <w:rPr>
      <w:kern w:val="2"/>
      <w:sz w:val="21"/>
      <w:szCs w:val="22"/>
    </w:rPr>
  </w:style>
  <w:style w:type="character" w:customStyle="1" w:styleId="42">
    <w:name w:val="批注主题 字符"/>
    <w:basedOn w:val="41"/>
    <w:link w:val="11"/>
    <w:semiHidden/>
    <w:qFormat/>
    <w:uiPriority w:val="99"/>
    <w:rPr>
      <w:b/>
      <w:bCs/>
      <w:kern w:val="2"/>
      <w:sz w:val="21"/>
      <w:szCs w:val="22"/>
    </w:rPr>
  </w:style>
  <w:style w:type="character" w:customStyle="1" w:styleId="43">
    <w:name w:val="批注框文本 字符"/>
    <w:basedOn w:val="25"/>
    <w:link w:val="17"/>
    <w:semiHidden/>
    <w:qFormat/>
    <w:uiPriority w:val="99"/>
    <w:rPr>
      <w:kern w:val="2"/>
      <w:sz w:val="18"/>
      <w:szCs w:val="18"/>
    </w:rPr>
  </w:style>
  <w:style w:type="paragraph" w:styleId="4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0" Type="http://schemas.openxmlformats.org/officeDocument/2006/relationships/fontTable" Target="fontTable.xml"/><Relationship Id="rId5" Type="http://schemas.openxmlformats.org/officeDocument/2006/relationships/footer" Target="footer2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1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0B371C-FD57-4DFB-8CB3-46AD8BE909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602</Words>
  <Characters>3435</Characters>
  <Lines>28</Lines>
  <Paragraphs>8</Paragraphs>
  <ScaleCrop>false</ScaleCrop>
  <LinksUpToDate>false</LinksUpToDate>
  <CharactersWithSpaces>4029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2017-12-05T09:01:00Z</dcterms:created>
  <dc:creator>lina321</dc:creator>
  <cp:lastModifiedBy>胡洪瑞</cp:lastModifiedBy>
  <dcterms:modified xsi:type="dcterms:W3CDTF">2017-12-29T07:07:13Z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