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>
      <w:pPr>
        <w:jc w:val="center"/>
        <w:rPr>
          <w:rFonts w:ascii="微软雅黑" w:hAnsi="微软雅黑" w:eastAsia="微软雅黑"/>
          <w:b/>
          <w:sz w:val="48"/>
          <w:szCs w:val="48"/>
        </w:rPr>
      </w:pPr>
      <w:bookmarkStart w:id="0" w:name="_Hlk500511681"/>
      <w:r>
        <w:rPr>
          <w:rFonts w:hint="eastAsia" w:ascii="微软雅黑" w:hAnsi="微软雅黑" w:eastAsia="微软雅黑"/>
          <w:b/>
          <w:sz w:val="56"/>
          <w:szCs w:val="48"/>
        </w:rPr>
        <w:t>中国科协系统综合统计平台</w:t>
      </w:r>
      <w:bookmarkEnd w:id="0"/>
    </w:p>
    <w:p>
      <w:pPr>
        <w:jc w:val="center"/>
        <w:rPr>
          <w:rFonts w:ascii="微软雅黑" w:hAnsi="微软雅黑" w:eastAsia="微软雅黑"/>
          <w:b/>
          <w:sz w:val="48"/>
          <w:szCs w:val="48"/>
        </w:rPr>
      </w:pPr>
    </w:p>
    <w:p>
      <w:pPr>
        <w:jc w:val="center"/>
        <w:rPr>
          <w:rFonts w:ascii="微软雅黑" w:hAnsi="微软雅黑" w:eastAsia="微软雅黑"/>
          <w:b/>
          <w:sz w:val="48"/>
          <w:szCs w:val="48"/>
        </w:rPr>
      </w:pPr>
    </w:p>
    <w:p>
      <w:pPr>
        <w:jc w:val="center"/>
        <w:rPr>
          <w:rFonts w:hint="eastAsia" w:ascii="微软雅黑" w:hAnsi="微软雅黑" w:eastAsia="微软雅黑"/>
          <w:b/>
          <w:sz w:val="48"/>
          <w:szCs w:val="48"/>
        </w:rPr>
      </w:pPr>
      <w:r>
        <w:rPr>
          <w:rFonts w:hint="eastAsia" w:ascii="微软雅黑" w:hAnsi="微软雅黑" w:eastAsia="微软雅黑"/>
          <w:b/>
          <w:sz w:val="48"/>
          <w:szCs w:val="48"/>
        </w:rPr>
        <w:t>用户操作手册</w:t>
      </w:r>
    </w:p>
    <w:p>
      <w:pPr>
        <w:jc w:val="center"/>
        <w:rPr>
          <w:rFonts w:hint="eastAsia" w:ascii="微软雅黑" w:hAnsi="微软雅黑" w:eastAsia="微软雅黑"/>
          <w:b/>
          <w:sz w:val="48"/>
          <w:szCs w:val="48"/>
          <w:lang w:eastAsia="zh-CN"/>
        </w:rPr>
      </w:pPr>
      <w:r>
        <w:rPr>
          <w:rFonts w:hint="eastAsia" w:ascii="微软雅黑" w:hAnsi="微软雅黑" w:eastAsia="微软雅黑"/>
          <w:b/>
          <w:sz w:val="48"/>
          <w:szCs w:val="48"/>
          <w:lang w:eastAsia="zh-CN"/>
        </w:rPr>
        <w:t>（</w:t>
      </w:r>
      <w:r>
        <w:rPr>
          <w:rFonts w:hint="eastAsia" w:ascii="微软雅黑" w:hAnsi="微软雅黑" w:eastAsia="微软雅黑"/>
          <w:b/>
          <w:sz w:val="48"/>
          <w:szCs w:val="48"/>
          <w:lang w:val="en-US" w:eastAsia="zh-CN"/>
        </w:rPr>
        <w:t>管理单位</w:t>
      </w:r>
      <w:r>
        <w:rPr>
          <w:rFonts w:hint="eastAsia" w:ascii="微软雅黑" w:hAnsi="微软雅黑" w:eastAsia="微软雅黑"/>
          <w:b/>
          <w:sz w:val="48"/>
          <w:szCs w:val="48"/>
          <w:lang w:eastAsia="zh-CN"/>
        </w:rPr>
        <w:t>）</w:t>
      </w:r>
    </w:p>
    <w:p>
      <w:pPr>
        <w:rPr>
          <w:rFonts w:ascii="微软雅黑" w:hAnsi="微软雅黑" w:eastAsia="微软雅黑"/>
          <w:b/>
          <w:sz w:val="48"/>
          <w:szCs w:val="48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ind w:firstLine="486" w:firstLineChars="152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北京久其软件股份有限公司</w:t>
      </w:r>
    </w:p>
    <w:p>
      <w:pPr>
        <w:ind w:firstLine="486" w:firstLineChars="152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2017年12月08日</w:t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目 录</w:t>
      </w:r>
    </w:p>
    <w:p>
      <w:pPr>
        <w:pStyle w:val="17"/>
        <w:tabs>
          <w:tab w:val="left" w:pos="420"/>
          <w:tab w:val="right" w:leader="dot" w:pos="8253"/>
        </w:tabs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TOC \o "1-3" \h \z \u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"_Toc501014544"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填报单位操作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_Toc501014544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0"/>
        <w:tabs>
          <w:tab w:val="left" w:pos="840"/>
          <w:tab w:val="right" w:leader="dot" w:pos="8253"/>
        </w:tabs>
        <w:rPr>
          <w:rFonts w:hint="eastAsia" w:ascii="仿宋_GB2312" w:hAnsi="仿宋_GB2312" w:eastAsia="仿宋_GB2312" w:cs="仿宋_GB2312"/>
          <w:smallCap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"_Toc501014545"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1.1</w:t>
      </w:r>
      <w:r>
        <w:rPr>
          <w:rFonts w:hint="eastAsia" w:ascii="仿宋_GB2312" w:hAnsi="仿宋_GB2312" w:eastAsia="仿宋_GB2312" w:cs="仿宋_GB2312"/>
          <w:smallCap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系统登录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_Toc501014545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0"/>
        <w:tabs>
          <w:tab w:val="left" w:pos="840"/>
          <w:tab w:val="right" w:leader="dot" w:pos="8253"/>
        </w:tabs>
        <w:rPr>
          <w:rFonts w:hint="eastAsia" w:ascii="仿宋_GB2312" w:hAnsi="仿宋_GB2312" w:eastAsia="仿宋_GB2312" w:cs="仿宋_GB2312"/>
          <w:smallCap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"_Toc501014546"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1.2</w:t>
      </w:r>
      <w:r>
        <w:rPr>
          <w:rFonts w:hint="eastAsia" w:ascii="仿宋_GB2312" w:hAnsi="仿宋_GB2312" w:eastAsia="仿宋_GB2312" w:cs="仿宋_GB2312"/>
          <w:smallCap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密码修改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_Toc501014546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0"/>
        <w:tabs>
          <w:tab w:val="left" w:pos="840"/>
          <w:tab w:val="right" w:leader="dot" w:pos="8253"/>
        </w:tabs>
        <w:rPr>
          <w:rFonts w:hint="eastAsia" w:ascii="仿宋_GB2312" w:hAnsi="仿宋_GB2312" w:eastAsia="仿宋_GB2312" w:cs="仿宋_GB2312"/>
          <w:smallCap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"_Toc501014547"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1.3</w:t>
      </w:r>
      <w:r>
        <w:rPr>
          <w:rFonts w:hint="eastAsia" w:ascii="仿宋_GB2312" w:hAnsi="仿宋_GB2312" w:eastAsia="仿宋_GB2312" w:cs="仿宋_GB2312"/>
          <w:smallCap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数据录入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_Toc501014547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13"/>
        <w:tabs>
          <w:tab w:val="left" w:pos="1260"/>
          <w:tab w:val="right" w:leader="dot" w:pos="8253"/>
        </w:tabs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"_Toc501014548"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1.3.1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审核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_Toc501014548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13"/>
        <w:tabs>
          <w:tab w:val="left" w:pos="1260"/>
          <w:tab w:val="right" w:leader="dot" w:pos="8253"/>
        </w:tabs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"_Toc501014549"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1.3.2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批注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_Toc501014549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13"/>
        <w:tabs>
          <w:tab w:val="left" w:pos="1260"/>
          <w:tab w:val="right" w:leader="dot" w:pos="8253"/>
        </w:tabs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"_Toc501014550"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1.3.3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确认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_Toc501014550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13"/>
        <w:tabs>
          <w:tab w:val="left" w:pos="1260"/>
          <w:tab w:val="right" w:leader="dot" w:pos="8253"/>
        </w:tabs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"_Toc501014551"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1.3.4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退回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_Toc501014551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13"/>
        <w:tabs>
          <w:tab w:val="left" w:pos="1260"/>
          <w:tab w:val="right" w:leader="dot" w:pos="8253"/>
        </w:tabs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"_Toc501014552"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1.3.5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层层汇总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_Toc501014552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0"/>
        <w:tabs>
          <w:tab w:val="left" w:pos="840"/>
          <w:tab w:val="right" w:leader="dot" w:pos="8253"/>
        </w:tabs>
        <w:rPr>
          <w:rFonts w:hint="eastAsia" w:ascii="仿宋_GB2312" w:hAnsi="仿宋_GB2312" w:eastAsia="仿宋_GB2312" w:cs="仿宋_GB2312"/>
          <w:smallCap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"_Toc501014553"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1.4</w:t>
      </w:r>
      <w:r>
        <w:rPr>
          <w:rFonts w:hint="eastAsia" w:ascii="仿宋_GB2312" w:hAnsi="仿宋_GB2312" w:eastAsia="仿宋_GB2312" w:cs="仿宋_GB2312"/>
          <w:smallCap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数据分析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_Toc501014553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13"/>
        <w:tabs>
          <w:tab w:val="left" w:pos="1260"/>
          <w:tab w:val="right" w:leader="dot" w:pos="8253"/>
        </w:tabs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"_Toc501014554"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1.4.1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上报情况纵览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_Toc501014554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13"/>
        <w:tabs>
          <w:tab w:val="left" w:pos="1260"/>
          <w:tab w:val="right" w:leader="dot" w:pos="8253"/>
        </w:tabs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"_Toc501014555"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1.4.2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数据汇总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_Toc501014555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13"/>
        <w:tabs>
          <w:tab w:val="left" w:pos="1260"/>
          <w:tab w:val="right" w:leader="dot" w:pos="8253"/>
        </w:tabs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"_Toc501014556"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1.4.3</w:t>
      </w: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高级查询配置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_Toc501014556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13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17"/>
        <w:tabs>
          <w:tab w:val="left" w:pos="420"/>
          <w:tab w:val="right" w:leader="dot" w:pos="8253"/>
        </w:tabs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"_Toc501014557"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特别说明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_Toc501014557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17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0"/>
        <w:tabs>
          <w:tab w:val="left" w:pos="840"/>
          <w:tab w:val="right" w:leader="dot" w:pos="8253"/>
        </w:tabs>
        <w:rPr>
          <w:rFonts w:hint="eastAsia" w:ascii="仿宋_GB2312" w:hAnsi="仿宋_GB2312" w:eastAsia="仿宋_GB2312" w:cs="仿宋_GB2312"/>
          <w:smallCap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"_Toc501014558"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2.1</w:t>
      </w:r>
      <w:r>
        <w:rPr>
          <w:rFonts w:hint="eastAsia" w:ascii="仿宋_GB2312" w:hAnsi="仿宋_GB2312" w:eastAsia="仿宋_GB2312" w:cs="仿宋_GB2312"/>
          <w:smallCap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单位颜色是黑色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_Toc501014558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17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0"/>
        <w:tabs>
          <w:tab w:val="left" w:pos="840"/>
          <w:tab w:val="right" w:leader="dot" w:pos="8253"/>
        </w:tabs>
        <w:rPr>
          <w:rFonts w:hint="eastAsia" w:ascii="仿宋_GB2312" w:hAnsi="仿宋_GB2312" w:eastAsia="仿宋_GB2312" w:cs="仿宋_GB2312"/>
          <w:smallCap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"_Toc501014559"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2.2</w:t>
      </w:r>
      <w:r>
        <w:rPr>
          <w:rFonts w:hint="eastAsia" w:ascii="仿宋_GB2312" w:hAnsi="仿宋_GB2312" w:eastAsia="仿宋_GB2312" w:cs="仿宋_GB2312"/>
          <w:smallCap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单位颜色是蓝色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_Toc501014559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18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0"/>
        <w:tabs>
          <w:tab w:val="left" w:pos="840"/>
          <w:tab w:val="right" w:leader="dot" w:pos="8253"/>
        </w:tabs>
        <w:rPr>
          <w:rFonts w:hint="eastAsia" w:ascii="仿宋_GB2312" w:hAnsi="仿宋_GB2312" w:eastAsia="仿宋_GB2312" w:cs="仿宋_GB2312"/>
          <w:smallCap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"_Toc501014560"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2.3</w:t>
      </w:r>
      <w:r>
        <w:rPr>
          <w:rFonts w:hint="eastAsia" w:ascii="仿宋_GB2312" w:hAnsi="仿宋_GB2312" w:eastAsia="仿宋_GB2312" w:cs="仿宋_GB2312"/>
          <w:smallCap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单位颜色是绿色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_Toc501014560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18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0"/>
        <w:tabs>
          <w:tab w:val="left" w:pos="840"/>
          <w:tab w:val="right" w:leader="dot" w:pos="8253"/>
        </w:tabs>
        <w:rPr>
          <w:rFonts w:hint="eastAsia" w:ascii="仿宋_GB2312" w:hAnsi="仿宋_GB2312" w:eastAsia="仿宋_GB2312" w:cs="仿宋_GB2312"/>
          <w:smallCap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"_Toc501014561"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2.4</w:t>
      </w:r>
      <w:r>
        <w:rPr>
          <w:rFonts w:hint="eastAsia" w:ascii="仿宋_GB2312" w:hAnsi="仿宋_GB2312" w:eastAsia="仿宋_GB2312" w:cs="仿宋_GB2312"/>
          <w:smallCaps w:val="0"/>
          <w:sz w:val="32"/>
          <w:szCs w:val="32"/>
        </w:rPr>
        <w:tab/>
      </w:r>
      <w:r>
        <w:rPr>
          <w:rStyle w:val="23"/>
          <w:rFonts w:hint="eastAsia" w:ascii="仿宋_GB2312" w:hAnsi="仿宋_GB2312" w:eastAsia="仿宋_GB2312" w:cs="仿宋_GB2312"/>
          <w:sz w:val="32"/>
          <w:szCs w:val="32"/>
        </w:rPr>
        <w:t>单位颜色是红色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_Toc501014561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19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bookmarkStart w:id="1" w:name="_Toc501014544"/>
    </w:p>
    <w:bookmarkEnd w:id="1"/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汇总单位需要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</w:rPr>
        <w:t>下级单位的数据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进行审核，</w:t>
      </w:r>
      <w:r>
        <w:rPr>
          <w:rFonts w:hint="eastAsia" w:ascii="仿宋_GB2312" w:hAnsi="仿宋_GB2312" w:eastAsia="仿宋_GB2312" w:cs="仿宋_GB2312"/>
          <w:sz w:val="32"/>
          <w:szCs w:val="32"/>
        </w:rPr>
        <w:t>确认后汇总再上报。</w:t>
      </w:r>
    </w:p>
    <w:p>
      <w:pPr>
        <w:pStyle w:val="3"/>
        <w:rPr>
          <w:rFonts w:hint="eastAsia" w:ascii="楷体" w:hAnsi="楷体" w:eastAsia="楷体" w:cs="楷体"/>
        </w:rPr>
      </w:pPr>
      <w:bookmarkStart w:id="2" w:name="_Toc501014545"/>
      <w:r>
        <w:rPr>
          <w:rFonts w:hint="eastAsia" w:ascii="楷体" w:hAnsi="楷体" w:eastAsia="楷体" w:cs="楷体"/>
        </w:rPr>
        <w:t>系统登录</w:t>
      </w:r>
      <w:bookmarkEnd w:id="2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输入网址http://kxtj.cast.org.cn登录“中国科协系统综合统计平台”,在登录界面出现登录对话框：</w:t>
      </w:r>
    </w:p>
    <w:p>
      <w:r>
        <w:drawing>
          <wp:inline distT="0" distB="0" distL="0" distR="0">
            <wp:extent cx="5274310" cy="3429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在登录对话框里输入用户名和密码，用户名默认为各填报单位的组织代码，密码同用户名。输入后点击登录即可。</w:t>
      </w:r>
    </w:p>
    <w:p>
      <w:pPr>
        <w:pStyle w:val="3"/>
        <w:rPr>
          <w:rFonts w:hint="eastAsia" w:ascii="楷体" w:hAnsi="楷体" w:eastAsia="楷体" w:cs="楷体"/>
        </w:rPr>
      </w:pPr>
      <w:bookmarkStart w:id="3" w:name="_Toc501014546"/>
      <w:r>
        <w:rPr>
          <w:rFonts w:hint="eastAsia" w:ascii="楷体" w:hAnsi="楷体" w:eastAsia="楷体" w:cs="楷体"/>
        </w:rPr>
        <w:t>密码修改</w:t>
      </w:r>
      <w:bookmarkEnd w:id="3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对于首次登录系统的用户，会弹出【首次登录-修改密码】对话框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r>
        <w:drawing>
          <wp:inline distT="0" distB="0" distL="0" distR="0">
            <wp:extent cx="5274310" cy="36290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用户需要将新密码输入，然后确认密码，需要注意密码要求，按照密码要求更改密码。点击确定按钮即可。如果用户需要再次修改密码，可以在登录系统后，点击系统的右上角的【修改密码】按钮进行修改。</w:t>
      </w:r>
    </w:p>
    <w:p>
      <w:r>
        <w:drawing>
          <wp:inline distT="0" distB="0" distL="0" distR="0">
            <wp:extent cx="5274310" cy="19202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253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楷体" w:hAnsi="楷体" w:eastAsia="楷体" w:cs="楷体"/>
        </w:rPr>
      </w:pPr>
      <w:bookmarkStart w:id="4" w:name="_Toc501014547"/>
      <w:r>
        <w:rPr>
          <w:rFonts w:hint="eastAsia" w:ascii="楷体" w:hAnsi="楷体" w:eastAsia="楷体" w:cs="楷体"/>
        </w:rPr>
        <w:t>数据录入</w:t>
      </w:r>
      <w:bookmarkEnd w:id="4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在【数据录入】里，点击【数据录入】，汇总单位需要将封面代码表完善后保存。</w:t>
      </w:r>
    </w:p>
    <w:p>
      <w:pPr>
        <w:pStyle w:val="4"/>
        <w:rPr>
          <w:rFonts w:hint="eastAsia" w:ascii="楷体" w:hAnsi="楷体" w:eastAsia="楷体" w:cs="楷体"/>
        </w:rPr>
      </w:pPr>
      <w:bookmarkStart w:id="5" w:name="_Toc501014548"/>
      <w:r>
        <w:rPr>
          <w:rFonts w:hint="eastAsia" w:ascii="楷体" w:hAnsi="楷体" w:eastAsia="楷体" w:cs="楷体"/>
        </w:rPr>
        <w:t>审核</w:t>
      </w:r>
      <w:bookmarkEnd w:id="5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汇总单位需要对下级单位的数据进行审核，选择已经上报的单位：</w:t>
      </w:r>
    </w:p>
    <w:p>
      <w:r>
        <w:drawing>
          <wp:inline distT="0" distB="0" distL="0" distR="0">
            <wp:extent cx="4933950" cy="40100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在单位树形中的下属单位，如果已经上报了的单位是蓝色，没有上报的是黑色的，已经确认的是绿色，被退回的是红色。</w:t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找到已经上报的单位，对已上报的单位进行审核。</w:t>
      </w:r>
    </w:p>
    <w:p>
      <w:r>
        <w:drawing>
          <wp:inline distT="0" distB="0" distL="0" distR="0">
            <wp:extent cx="5274310" cy="25933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hint="eastAsia" w:ascii="楷体" w:hAnsi="楷体" w:eastAsia="楷体" w:cs="楷体"/>
        </w:rPr>
      </w:pPr>
      <w:bookmarkStart w:id="6" w:name="_Toc501014549"/>
      <w:r>
        <w:rPr>
          <w:rFonts w:hint="eastAsia" w:ascii="楷体" w:hAnsi="楷体" w:eastAsia="楷体" w:cs="楷体"/>
        </w:rPr>
        <w:t>批注</w:t>
      </w:r>
      <w:bookmarkEnd w:id="6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如果发现上报的单位的数据有问题，可以对某项指标进行批注。</w:t>
      </w:r>
    </w:p>
    <w:p>
      <w:r>
        <w:drawing>
          <wp:inline distT="0" distB="0" distL="0" distR="0">
            <wp:extent cx="5274310" cy="28270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同时也可以点击【显示所有批注】查看该报表的批注。所有被批注的指标的右上角有红色三角角标。</w:t>
      </w:r>
    </w:p>
    <w:p>
      <w:pPr>
        <w:pStyle w:val="4"/>
        <w:rPr>
          <w:rFonts w:hint="eastAsia" w:ascii="楷体" w:hAnsi="楷体" w:eastAsia="楷体" w:cs="楷体"/>
        </w:rPr>
      </w:pPr>
      <w:bookmarkStart w:id="7" w:name="_Toc501014550"/>
      <w:r>
        <w:rPr>
          <w:rFonts w:hint="eastAsia" w:ascii="楷体" w:hAnsi="楷体" w:eastAsia="楷体" w:cs="楷体"/>
        </w:rPr>
        <w:t>确认</w:t>
      </w:r>
      <w:bookmarkEnd w:id="7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如果下级单位上报的数据没有任何问题，需要对下级单位的报表进行确认，点击工具栏里的【确认】按钮；</w:t>
      </w:r>
    </w:p>
    <w:p>
      <w:r>
        <w:drawing>
          <wp:inline distT="0" distB="0" distL="0" distR="0">
            <wp:extent cx="5274310" cy="30480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弹出确认成功对话框</w:t>
      </w:r>
    </w:p>
    <w:p>
      <w:r>
        <w:drawing>
          <wp:inline distT="0" distB="0" distL="0" distR="0">
            <wp:extent cx="5274310" cy="318135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同时单位树形里的颜色变成绿色。</w:t>
      </w:r>
    </w:p>
    <w:p/>
    <w:p>
      <w:pPr>
        <w:pStyle w:val="4"/>
        <w:rPr>
          <w:rFonts w:hint="eastAsia" w:ascii="楷体" w:hAnsi="楷体" w:eastAsia="楷体" w:cs="楷体"/>
        </w:rPr>
      </w:pPr>
      <w:bookmarkStart w:id="8" w:name="_Toc501014551"/>
      <w:r>
        <w:rPr>
          <w:rFonts w:hint="eastAsia" w:ascii="楷体" w:hAnsi="楷体" w:eastAsia="楷体" w:cs="楷体"/>
        </w:rPr>
        <w:t>退回</w:t>
      </w:r>
      <w:bookmarkEnd w:id="8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如果下级单位上报的数据有问题，需要点击【退回】按钮进行退回。</w:t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点击工具栏里的【退回】按钮</w:t>
      </w:r>
    </w:p>
    <w:p>
      <w:r>
        <w:drawing>
          <wp:inline distT="0" distB="0" distL="0" distR="0">
            <wp:extent cx="5274310" cy="224663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2632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确定后弹出退回说明对话框，此时可以将退回的意见填写，确定后退回。</w:t>
      </w:r>
    </w:p>
    <w:p>
      <w:r>
        <w:drawing>
          <wp:inline distT="0" distB="0" distL="0" distR="0">
            <wp:extent cx="5274310" cy="3003550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提示退回成功了，同时单位树形里的该单位的颜色变成红色。</w:t>
      </w:r>
    </w:p>
    <w:p>
      <w:r>
        <w:drawing>
          <wp:inline distT="0" distB="0" distL="0" distR="0">
            <wp:extent cx="5274310" cy="255397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hint="eastAsia" w:ascii="楷体" w:hAnsi="楷体" w:eastAsia="楷体" w:cs="楷体"/>
        </w:rPr>
      </w:pPr>
      <w:bookmarkStart w:id="9" w:name="_Toc501014552"/>
      <w:r>
        <w:rPr>
          <w:rFonts w:hint="eastAsia" w:ascii="楷体" w:hAnsi="楷体" w:eastAsia="楷体" w:cs="楷体"/>
        </w:rPr>
        <w:t>层层汇总</w:t>
      </w:r>
      <w:bookmarkEnd w:id="9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下级单位都已经上报，且确认后，可以点击层层汇总将所有单位的报表数据进行汇总。选择报表点击【层层汇总】：</w:t>
      </w:r>
    </w:p>
    <w:p>
      <w:r>
        <w:drawing>
          <wp:inline distT="0" distB="0" distL="0" distR="0">
            <wp:extent cx="5274310" cy="243776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注意：层层汇总只汇总已上报已确认的数据。</w:t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3"/>
        <w:rPr>
          <w:rFonts w:hint="eastAsia" w:ascii="楷体" w:hAnsi="楷体" w:eastAsia="楷体" w:cs="楷体"/>
        </w:rPr>
      </w:pPr>
      <w:bookmarkStart w:id="10" w:name="_Toc501014553"/>
      <w:r>
        <w:rPr>
          <w:rFonts w:hint="eastAsia" w:ascii="楷体" w:hAnsi="楷体" w:eastAsia="楷体" w:cs="楷体"/>
        </w:rPr>
        <w:t>数据分析</w:t>
      </w:r>
      <w:bookmarkEnd w:id="10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汇总单位界面上方，点击【数据分析】按钮。左侧功能树里有如下三个功能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r>
        <w:drawing>
          <wp:inline distT="0" distB="0" distL="0" distR="0">
            <wp:extent cx="5274310" cy="2797810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楷体" w:hAnsi="楷体" w:eastAsia="楷体" w:cs="楷体"/>
        </w:rPr>
      </w:pPr>
      <w:bookmarkStart w:id="11" w:name="_Toc501014554"/>
      <w:r>
        <w:rPr>
          <w:rFonts w:hint="eastAsia" w:ascii="楷体" w:hAnsi="楷体" w:eastAsia="楷体" w:cs="楷体"/>
        </w:rPr>
        <w:t>上报情况纵览</w:t>
      </w:r>
      <w:bookmarkEnd w:id="11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在【上报情况纵览】功能里，可以同样通过单位树形查看单位的上报情况，也可以在右侧表中切换查看未上报，已上报，已退回。</w:t>
      </w:r>
    </w:p>
    <w:p>
      <w:r>
        <w:drawing>
          <wp:inline distT="0" distB="0" distL="0" distR="0">
            <wp:extent cx="5274310" cy="200152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表上方的业务方案选择</w:t>
      </w:r>
    </w:p>
    <w:p>
      <w:r>
        <w:drawing>
          <wp:inline distT="0" distB="0" distL="0" distR="0">
            <wp:extent cx="5274310" cy="1637030"/>
            <wp:effectExtent l="0" t="0" r="254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年份可以切换查看。勾上显示全部下级，即可查看上报情况结果：</w:t>
      </w:r>
    </w:p>
    <w:p>
      <w:r>
        <w:drawing>
          <wp:inline distT="0" distB="0" distL="0" distR="0">
            <wp:extent cx="5274310" cy="2143125"/>
            <wp:effectExtent l="0" t="0" r="254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4"/>
        <w:rPr>
          <w:rFonts w:hint="eastAsia" w:ascii="楷体" w:hAnsi="楷体" w:eastAsia="楷体" w:cs="楷体"/>
        </w:rPr>
      </w:pPr>
      <w:bookmarkStart w:id="12" w:name="_Toc501014555"/>
      <w:r>
        <w:rPr>
          <w:rFonts w:hint="eastAsia" w:ascii="楷体" w:hAnsi="楷体" w:eastAsia="楷体" w:cs="楷体"/>
        </w:rPr>
        <w:t>数据汇总</w:t>
      </w:r>
      <w:bookmarkEnd w:id="12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汇总单位可以对下级单位进行汇总，【数据汇总】功能中，选择业务方案和年份，可以对单位进行选择，同时可以对报表进行选择，比较灵活。选择后，点击汇总按钮：</w:t>
      </w:r>
    </w:p>
    <w:p>
      <w:r>
        <w:drawing>
          <wp:inline distT="0" distB="0" distL="0" distR="0">
            <wp:extent cx="5274310" cy="241300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074545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如果有下级没有上报，此处的汇总会将所选择的单位的报表进行汇总。</w:t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汇总完成后，可在汇总结果里查看</w:t>
      </w:r>
    </w:p>
    <w:p>
      <w:r>
        <w:drawing>
          <wp:inline distT="0" distB="0" distL="0" distR="0">
            <wp:extent cx="5274310" cy="24218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注意：此处的汇总会将选择的单位报表全部进行汇总，不同于数据录入里的层层汇总。故根据实际需求使用次功能。</w:t>
      </w:r>
    </w:p>
    <w:p>
      <w:pPr>
        <w:pStyle w:val="4"/>
        <w:rPr>
          <w:rFonts w:hint="eastAsia" w:ascii="楷体" w:hAnsi="楷体" w:eastAsia="楷体" w:cs="楷体"/>
        </w:rPr>
      </w:pPr>
      <w:bookmarkStart w:id="13" w:name="_Toc501014556"/>
      <w:r>
        <w:rPr>
          <w:rFonts w:hint="eastAsia" w:ascii="楷体" w:hAnsi="楷体" w:eastAsia="楷体" w:cs="楷体"/>
        </w:rPr>
        <w:t>高级查询配置</w:t>
      </w:r>
      <w:bookmarkEnd w:id="13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如果汇总单位想对某些单位某些指标进行比对，此时可以通过【高级查询配置】进行配置：</w:t>
      </w:r>
    </w:p>
    <w:p>
      <w:r>
        <w:drawing>
          <wp:inline distT="0" distB="0" distL="0" distR="0">
            <wp:extent cx="5274310" cy="244221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根据步骤进行配置：</w:t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第一步：选择时期</w:t>
      </w:r>
    </w:p>
    <w:p>
      <w:r>
        <w:drawing>
          <wp:inline distT="0" distB="0" distL="0" distR="0">
            <wp:extent cx="5274310" cy="2854960"/>
            <wp:effectExtent l="0" t="0" r="254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第二步：选择指标</w:t>
      </w:r>
    </w:p>
    <w:p>
      <w:r>
        <w:drawing>
          <wp:inline distT="0" distB="0" distL="0" distR="0">
            <wp:extent cx="5274310" cy="21158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先选择报表，双击报表：</w:t>
      </w:r>
    </w:p>
    <w:p>
      <w:r>
        <w:drawing>
          <wp:inline distT="0" distB="0" distL="0" distR="0">
            <wp:extent cx="5274310" cy="2951480"/>
            <wp:effectExtent l="0" t="0" r="254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29510"/>
            <wp:effectExtent l="0" t="0" r="2540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第三步：选择单位：</w:t>
      </w:r>
    </w:p>
    <w:p>
      <w:r>
        <w:drawing>
          <wp:inline distT="0" distB="0" distL="0" distR="0">
            <wp:extent cx="5274310" cy="2189480"/>
            <wp:effectExtent l="0" t="0" r="254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选择后，点击查询按钮：</w:t>
      </w:r>
    </w:p>
    <w:p>
      <w:r>
        <w:drawing>
          <wp:inline distT="0" distB="0" distL="0" distR="0">
            <wp:extent cx="5274310" cy="309181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此时出现查询结果，同时可以点击【列选】对查询结果的指标进行二次选择：</w:t>
      </w:r>
    </w:p>
    <w:p>
      <w:r>
        <w:drawing>
          <wp:inline distT="0" distB="0" distL="0" distR="0">
            <wp:extent cx="5274310" cy="284099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点击【合计】可以对查询结果的值进行合计</w:t>
      </w:r>
    </w:p>
    <w:p>
      <w:r>
        <w:drawing>
          <wp:inline distT="0" distB="0" distL="0" distR="0">
            <wp:extent cx="5274310" cy="2279015"/>
            <wp:effectExtent l="0" t="0" r="254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eastAsia" w:ascii="楷体" w:hAnsi="楷体" w:eastAsia="楷体" w:cs="楷体"/>
        </w:rPr>
      </w:pPr>
      <w:bookmarkStart w:id="14" w:name="_Toc501014557"/>
      <w:r>
        <w:rPr>
          <w:rFonts w:hint="eastAsia" w:ascii="楷体" w:hAnsi="楷体" w:eastAsia="楷体" w:cs="楷体"/>
        </w:rPr>
        <w:t>特别说明</w:t>
      </w:r>
      <w:bookmarkEnd w:id="14"/>
    </w:p>
    <w:p>
      <w:pPr>
        <w:pStyle w:val="3"/>
        <w:rPr>
          <w:rFonts w:hint="eastAsia" w:ascii="楷体" w:hAnsi="楷体" w:eastAsia="楷体" w:cs="楷体"/>
        </w:rPr>
      </w:pPr>
      <w:bookmarkStart w:id="15" w:name="_Toc501014558"/>
      <w:r>
        <w:rPr>
          <w:rFonts w:hint="eastAsia" w:ascii="楷体" w:hAnsi="楷体" w:eastAsia="楷体" w:cs="楷体"/>
        </w:rPr>
        <w:t>单位颜色是黑色</w:t>
      </w:r>
      <w:bookmarkEnd w:id="15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系统里，单位树形中，对于没有上报的单位的颜色是黑色的：</w:t>
      </w:r>
    </w:p>
    <w:p>
      <w:r>
        <w:drawing>
          <wp:inline distT="0" distB="0" distL="0" distR="0">
            <wp:extent cx="2124075" cy="340042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 w:ascii="楷体" w:hAnsi="楷体" w:eastAsia="楷体" w:cs="楷体"/>
        </w:rPr>
      </w:pPr>
      <w:bookmarkStart w:id="16" w:name="_Toc501014559"/>
      <w:r>
        <w:rPr>
          <w:rFonts w:hint="eastAsia" w:ascii="楷体" w:hAnsi="楷体" w:eastAsia="楷体" w:cs="楷体"/>
        </w:rPr>
        <w:t>单位颜色是蓝色</w:t>
      </w:r>
      <w:bookmarkEnd w:id="16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如果单位数据填写完成，审核无误，上报成功后，该单位的颜色变成蓝色：</w:t>
      </w:r>
    </w:p>
    <w:p>
      <w:r>
        <w:drawing>
          <wp:inline distT="0" distB="0" distL="0" distR="0">
            <wp:extent cx="2314575" cy="38195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 w:ascii="楷体" w:hAnsi="楷体" w:eastAsia="楷体" w:cs="楷体"/>
        </w:rPr>
      </w:pPr>
      <w:bookmarkStart w:id="17" w:name="_Toc501014560"/>
      <w:r>
        <w:rPr>
          <w:rFonts w:hint="eastAsia" w:ascii="楷体" w:hAnsi="楷体" w:eastAsia="楷体" w:cs="楷体"/>
        </w:rPr>
        <w:t>单位颜色是绿色</w:t>
      </w:r>
      <w:bookmarkEnd w:id="17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上级对于已经上报的单位进行确认后，该单位颜色变成绿色</w:t>
      </w:r>
    </w:p>
    <w:p>
      <w:r>
        <w:drawing>
          <wp:inline distT="0" distB="0" distL="0" distR="0">
            <wp:extent cx="2085975" cy="41624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 w:ascii="楷体" w:hAnsi="楷体" w:eastAsia="楷体" w:cs="楷体"/>
        </w:rPr>
      </w:pPr>
      <w:bookmarkStart w:id="18" w:name="_Toc501014561"/>
      <w:r>
        <w:rPr>
          <w:rFonts w:hint="eastAsia" w:ascii="楷体" w:hAnsi="楷体" w:eastAsia="楷体" w:cs="楷体"/>
        </w:rPr>
        <w:t>单位颜色是红色</w:t>
      </w:r>
      <w:bookmarkEnd w:id="18"/>
      <w:bookmarkStart w:id="19" w:name="_GoBack"/>
      <w:bookmarkEnd w:id="19"/>
    </w:p>
    <w:p>
      <w:pPr>
        <w:ind w:firstLine="486" w:firstLineChars="15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上级对于已经上报的单位进行退回后，该单位颜色变成红色，</w:t>
      </w:r>
    </w:p>
    <w:p>
      <w:r>
        <w:drawing>
          <wp:inline distT="0" distB="0" distL="0" distR="0">
            <wp:extent cx="2438400" cy="35909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43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833523168"/>
                            <w:docPartObj>
                              <w:docPartGallery w:val="autotext"/>
                            </w:docPartObj>
                          </w:sdtPr>
                          <w:sdtContent>
                            <w:p>
                              <w:pPr>
                                <w:pStyle w:val="15"/>
                                <w:jc w:val="center"/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833523168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15"/>
                          <w:jc w:val="center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val="zh-CN"/>
                          </w:rPr>
                          <w:t>1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  <w:r>
      <w:rPr>
        <w:rFonts w:hint="eastAsia"/>
      </w:rPr>
      <w:t>中国科协系统综合统计平台用户操作手册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23730"/>
    <w:multiLevelType w:val="multilevel"/>
    <w:tmpl w:val="13B23730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9C4"/>
    <w:rsid w:val="000617D0"/>
    <w:rsid w:val="00075E9C"/>
    <w:rsid w:val="0014617A"/>
    <w:rsid w:val="00213A0E"/>
    <w:rsid w:val="00273A4B"/>
    <w:rsid w:val="002A0CA2"/>
    <w:rsid w:val="00384C61"/>
    <w:rsid w:val="003B6A20"/>
    <w:rsid w:val="003F4EEF"/>
    <w:rsid w:val="004771CC"/>
    <w:rsid w:val="00514975"/>
    <w:rsid w:val="00611940"/>
    <w:rsid w:val="00794A8F"/>
    <w:rsid w:val="007A7D97"/>
    <w:rsid w:val="007E70D2"/>
    <w:rsid w:val="00815CDD"/>
    <w:rsid w:val="00821C50"/>
    <w:rsid w:val="00833652"/>
    <w:rsid w:val="008561E6"/>
    <w:rsid w:val="008971CC"/>
    <w:rsid w:val="009673B9"/>
    <w:rsid w:val="009C4EB6"/>
    <w:rsid w:val="009D79C4"/>
    <w:rsid w:val="00A65A35"/>
    <w:rsid w:val="00AF423F"/>
    <w:rsid w:val="00C041C4"/>
    <w:rsid w:val="00C10A9D"/>
    <w:rsid w:val="00C12993"/>
    <w:rsid w:val="00C1359C"/>
    <w:rsid w:val="00CC2583"/>
    <w:rsid w:val="00D068A5"/>
    <w:rsid w:val="00D515FD"/>
    <w:rsid w:val="00DB530E"/>
    <w:rsid w:val="00E81934"/>
    <w:rsid w:val="00EC0A4F"/>
    <w:rsid w:val="00F00394"/>
    <w:rsid w:val="00F33776"/>
    <w:rsid w:val="1D90064C"/>
    <w:rsid w:val="3D72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0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1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2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3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2">
    <w:name w:val="Default Paragraph Font"/>
    <w:unhideWhenUsed/>
    <w:qFormat/>
    <w:uiPriority w:val="1"/>
  </w:style>
  <w:style w:type="table" w:default="1" w:styleId="2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2">
    <w:name w:val="toc 5"/>
    <w:basedOn w:val="1"/>
    <w:next w:val="1"/>
    <w:unhideWhenUsed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3">
    <w:name w:val="toc 3"/>
    <w:basedOn w:val="1"/>
    <w:next w:val="1"/>
    <w:unhideWhenUsed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14">
    <w:name w:val="toc 8"/>
    <w:basedOn w:val="1"/>
    <w:next w:val="1"/>
    <w:unhideWhenUsed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5">
    <w:name w:val="foot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18">
    <w:name w:val="toc 4"/>
    <w:basedOn w:val="1"/>
    <w:next w:val="1"/>
    <w:unhideWhenUsed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9">
    <w:name w:val="toc 6"/>
    <w:basedOn w:val="1"/>
    <w:next w:val="1"/>
    <w:unhideWhenUsed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0">
    <w:name w:val="toc 2"/>
    <w:basedOn w:val="1"/>
    <w:next w:val="1"/>
    <w:unhideWhenUsed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21">
    <w:name w:val="toc 9"/>
    <w:basedOn w:val="1"/>
    <w:next w:val="1"/>
    <w:unhideWhenUsed/>
    <w:uiPriority w:val="39"/>
    <w:pPr>
      <w:ind w:left="1680"/>
      <w:jc w:val="left"/>
    </w:pPr>
    <w:rPr>
      <w:rFonts w:eastAsiaTheme="minorHAnsi"/>
      <w:sz w:val="18"/>
      <w:szCs w:val="18"/>
    </w:rPr>
  </w:style>
  <w:style w:type="character" w:styleId="23">
    <w:name w:val="Hyperlink"/>
    <w:basedOn w:val="2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1 字符"/>
    <w:basedOn w:val="22"/>
    <w:link w:val="2"/>
    <w:uiPriority w:val="9"/>
    <w:rPr>
      <w:b/>
      <w:bCs/>
      <w:kern w:val="44"/>
      <w:sz w:val="44"/>
      <w:szCs w:val="44"/>
    </w:rPr>
  </w:style>
  <w:style w:type="character" w:customStyle="1" w:styleId="26">
    <w:name w:val="标题 2 字符"/>
    <w:basedOn w:val="22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22"/>
    <w:link w:val="4"/>
    <w:uiPriority w:val="9"/>
    <w:rPr>
      <w:b/>
      <w:bCs/>
      <w:sz w:val="32"/>
      <w:szCs w:val="32"/>
    </w:rPr>
  </w:style>
  <w:style w:type="character" w:customStyle="1" w:styleId="28">
    <w:name w:val="标题 4 字符"/>
    <w:basedOn w:val="22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9">
    <w:name w:val="标题 5 字符"/>
    <w:basedOn w:val="22"/>
    <w:link w:val="6"/>
    <w:semiHidden/>
    <w:uiPriority w:val="9"/>
    <w:rPr>
      <w:b/>
      <w:bCs/>
      <w:sz w:val="28"/>
      <w:szCs w:val="28"/>
    </w:rPr>
  </w:style>
  <w:style w:type="character" w:customStyle="1" w:styleId="30">
    <w:name w:val="标题 6 字符"/>
    <w:basedOn w:val="22"/>
    <w:link w:val="7"/>
    <w:semiHidden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1">
    <w:name w:val="标题 7 字符"/>
    <w:basedOn w:val="22"/>
    <w:link w:val="8"/>
    <w:semiHidden/>
    <w:uiPriority w:val="9"/>
    <w:rPr>
      <w:b/>
      <w:bCs/>
      <w:sz w:val="24"/>
      <w:szCs w:val="24"/>
    </w:rPr>
  </w:style>
  <w:style w:type="character" w:customStyle="1" w:styleId="32">
    <w:name w:val="标题 8 字符"/>
    <w:basedOn w:val="22"/>
    <w:link w:val="9"/>
    <w:semiHidden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3">
    <w:name w:val="标题 9 字符"/>
    <w:basedOn w:val="22"/>
    <w:link w:val="10"/>
    <w:semiHidden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4">
    <w:name w:val="页眉 字符"/>
    <w:basedOn w:val="22"/>
    <w:link w:val="16"/>
    <w:uiPriority w:val="99"/>
    <w:rPr>
      <w:sz w:val="18"/>
      <w:szCs w:val="18"/>
    </w:rPr>
  </w:style>
  <w:style w:type="character" w:customStyle="1" w:styleId="35">
    <w:name w:val="页脚 字符"/>
    <w:basedOn w:val="22"/>
    <w:link w:val="15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65D1EB-1225-4BDA-98B2-6E9A41978C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443</Words>
  <Characters>2527</Characters>
  <Lines>21</Lines>
  <Paragraphs>5</Paragraphs>
  <ScaleCrop>false</ScaleCrop>
  <LinksUpToDate>false</LinksUpToDate>
  <CharactersWithSpaces>2965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2017-12-05T09:01:00Z</dcterms:created>
  <dc:creator>lina321</dc:creator>
  <cp:lastModifiedBy>胡洪瑞</cp:lastModifiedBy>
  <dcterms:modified xsi:type="dcterms:W3CDTF">2017-12-14T04:04:02Z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