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hint="eastAsia" w:ascii="黑体" w:hAnsi="黑体" w:eastAsia="黑体"/>
          <w:sz w:val="32"/>
          <w:szCs w:val="32"/>
        </w:rPr>
      </w:pPr>
      <w:r>
        <w:rPr>
          <w:rFonts w:hint="eastAsia" w:ascii="黑体" w:hAnsi="黑体" w:eastAsia="黑体"/>
          <w:sz w:val="32"/>
          <w:szCs w:val="32"/>
        </w:rPr>
        <w:t>附件1</w:t>
      </w:r>
    </w:p>
    <w:p>
      <w:pPr>
        <w:spacing w:before="190" w:beforeLines="50" w:after="381" w:afterLines="100" w:line="560" w:lineRule="exact"/>
        <w:jc w:val="center"/>
        <w:rPr>
          <w:rFonts w:hint="eastAsia" w:ascii="小标宋" w:hAnsi="黑体" w:eastAsia="小标宋"/>
          <w:sz w:val="44"/>
          <w:szCs w:val="44"/>
        </w:rPr>
      </w:pPr>
      <w:bookmarkStart w:id="0" w:name="_GoBack"/>
      <w:r>
        <w:rPr>
          <w:rFonts w:hint="eastAsia" w:ascii="小标宋" w:hAnsi="黑体" w:eastAsia="小标宋"/>
          <w:sz w:val="44"/>
          <w:szCs w:val="44"/>
        </w:rPr>
        <w:t>第二批地方科协深化改革试点工作申报指南</w:t>
      </w:r>
    </w:p>
    <w:bookmarkEnd w:id="0"/>
    <w:p>
      <w:pPr>
        <w:spacing w:line="560" w:lineRule="exact"/>
        <w:ind w:firstLine="645"/>
        <w:rPr>
          <w:rFonts w:ascii="黑体" w:hAnsi="黑体" w:eastAsia="黑体"/>
          <w:sz w:val="32"/>
          <w:szCs w:val="32"/>
        </w:rPr>
      </w:pPr>
      <w:r>
        <w:rPr>
          <w:rFonts w:hint="eastAsia" w:ascii="黑体" w:hAnsi="黑体" w:eastAsia="黑体"/>
          <w:sz w:val="32"/>
          <w:szCs w:val="32"/>
        </w:rPr>
        <w:t>一、总体要求</w:t>
      </w:r>
    </w:p>
    <w:p>
      <w:pPr>
        <w:spacing w:line="560" w:lineRule="exact"/>
        <w:ind w:firstLine="645"/>
        <w:rPr>
          <w:rFonts w:ascii="仿宋_GB2312" w:eastAsia="仿宋_GB2312"/>
          <w:sz w:val="32"/>
          <w:szCs w:val="32"/>
        </w:rPr>
      </w:pPr>
      <w:r>
        <w:rPr>
          <w:rFonts w:hint="eastAsia" w:ascii="仿宋_GB2312" w:eastAsia="仿宋_GB2312"/>
          <w:sz w:val="32"/>
          <w:szCs w:val="32"/>
        </w:rPr>
        <w:t>深入贯彻落实习近平总书记关于科技创新和群团改革的重要指示精神，毫不动摇坚持党的领导，强化思想政治引领，牢牢把握为中国梦奋斗的时代主题和围绕中心服务大局的工作主线，把团结动员、联系服务科技工作者作为工作生命线，大抓基层、纵深推进改革，把开放型枢纽型平台型组织优势有效转化为服务高质量发展优势和治理效能，团结引领广大科技工作者增强“四个意识”、树立“四个自信”、做到“两个维护”，夯实党在科技界的执政基础。</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二、工作目标</w:t>
      </w:r>
    </w:p>
    <w:p>
      <w:pPr>
        <w:spacing w:line="560" w:lineRule="exact"/>
        <w:ind w:firstLine="645"/>
        <w:rPr>
          <w:rFonts w:ascii="仿宋_GB2312" w:eastAsia="仿宋_GB2312"/>
          <w:sz w:val="32"/>
          <w:szCs w:val="32"/>
        </w:rPr>
      </w:pPr>
      <w:r>
        <w:rPr>
          <w:rFonts w:hint="eastAsia" w:ascii="仿宋_GB2312" w:eastAsia="仿宋_GB2312"/>
          <w:sz w:val="32"/>
          <w:szCs w:val="32"/>
        </w:rPr>
        <w:t>结合各自资源禀赋和工作实际，创新设计试点内容和路径，推动科协组织职能与时俱进，着力扩大有效覆盖，充分发挥桥梁纽带作用，健全联系广泛、服务群众的群团工作体系，塑造“科普中国”和“科创中国”服务品牌，推动改革向纵深拓展、向基层延伸，推动力量和资源下沉，探索建立符合规律和实际的组织机制与方式，建设更加充满活力、更加坚强有力的基层科协组织。</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三、实施原则</w:t>
      </w:r>
    </w:p>
    <w:p>
      <w:pPr>
        <w:spacing w:line="560" w:lineRule="exact"/>
        <w:ind w:firstLine="640" w:firstLineChars="200"/>
        <w:rPr>
          <w:rFonts w:ascii="仿宋_GB2312" w:eastAsia="仿宋_GB2312"/>
          <w:sz w:val="32"/>
          <w:szCs w:val="32"/>
        </w:rPr>
      </w:pPr>
      <w:r>
        <w:rPr>
          <w:rFonts w:hint="eastAsia" w:ascii="楷体_GB2312" w:eastAsia="楷体_GB2312" w:cs="仿宋"/>
          <w:color w:val="000000"/>
          <w:sz w:val="32"/>
          <w:szCs w:val="32"/>
        </w:rPr>
        <w:t>1．坚持突出主线。</w:t>
      </w:r>
      <w:r>
        <w:rPr>
          <w:rFonts w:hint="eastAsia" w:ascii="仿宋_GB2312" w:eastAsia="仿宋_GB2312"/>
          <w:sz w:val="32"/>
          <w:szCs w:val="32"/>
        </w:rPr>
        <w:t>深入学习领会习近平总书记关于科技创新和群团工作的重要论述，按照中办《科协系统深化改革实施方案》要求，围绕建设“三型”组织、发挥“三大功能”、落实“四服务”职责定位等内容，找准改革着力点，扩大有效覆盖，创新组织设置方式，转变拓展职能，通过改革激发科协组织活力，引领科技工作者建功新时代。</w:t>
      </w:r>
    </w:p>
    <w:p>
      <w:pPr>
        <w:snapToGrid w:val="0"/>
        <w:spacing w:line="560" w:lineRule="exact"/>
        <w:ind w:firstLine="640" w:firstLineChars="200"/>
        <w:rPr>
          <w:rFonts w:ascii="仿宋_GB2312" w:eastAsia="仿宋_GB2312" w:cs="仿宋"/>
          <w:color w:val="000000"/>
          <w:sz w:val="32"/>
          <w:szCs w:val="32"/>
        </w:rPr>
      </w:pPr>
      <w:r>
        <w:rPr>
          <w:rFonts w:hint="eastAsia" w:ascii="楷体_GB2312" w:eastAsia="楷体_GB2312" w:cs="仿宋"/>
          <w:color w:val="000000"/>
          <w:sz w:val="32"/>
          <w:szCs w:val="32"/>
        </w:rPr>
        <w:t>2．坚持问题导向。</w:t>
      </w:r>
      <w:r>
        <w:rPr>
          <w:rFonts w:hint="eastAsia" w:ascii="仿宋_GB2312" w:eastAsia="仿宋_GB2312" w:cs="仿宋"/>
          <w:color w:val="000000"/>
          <w:sz w:val="32"/>
          <w:szCs w:val="32"/>
        </w:rPr>
        <w:t>针对“改革越往下延伸力度越弱”“基层组织薄弱”“缺乏服务地方发展的有效载体”等工作中的突出问题精准发力，</w:t>
      </w:r>
      <w:r>
        <w:rPr>
          <w:rFonts w:hint="eastAsia" w:ascii="仿宋_GB2312" w:eastAsia="仿宋_GB2312"/>
          <w:sz w:val="32"/>
          <w:szCs w:val="32"/>
        </w:rPr>
        <w:t>结合本地区实际差异化探索。</w:t>
      </w:r>
    </w:p>
    <w:p>
      <w:pPr>
        <w:spacing w:line="560" w:lineRule="exact"/>
        <w:ind w:firstLine="640" w:firstLineChars="200"/>
        <w:rPr>
          <w:rFonts w:ascii="楷体_GB2312" w:eastAsia="楷体_GB2312" w:cs="仿宋"/>
          <w:color w:val="000000"/>
          <w:sz w:val="32"/>
          <w:szCs w:val="32"/>
        </w:rPr>
      </w:pPr>
      <w:r>
        <w:rPr>
          <w:rFonts w:hint="eastAsia" w:ascii="楷体_GB2312" w:eastAsia="楷体_GB2312" w:cs="仿宋"/>
          <w:color w:val="000000"/>
          <w:sz w:val="32"/>
          <w:szCs w:val="32"/>
        </w:rPr>
        <w:t>3．坚持改革创新。</w:t>
      </w:r>
      <w:r>
        <w:rPr>
          <w:rFonts w:hint="eastAsia" w:ascii="仿宋_GB2312" w:eastAsia="仿宋_GB2312" w:cs="仿宋"/>
          <w:color w:val="000000"/>
          <w:sz w:val="32"/>
          <w:szCs w:val="32"/>
        </w:rPr>
        <w:t>应对疫情蔓延带来的困难和挑战，创新思路理念，强化改革担当，探索符合本地区实际的工作机制模式和组织方式，推动服务下沉、重心下移，为决胜全面建成小康社会、决战脱贫攻坚作出科协贡献。</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四、试点内容</w:t>
      </w:r>
    </w:p>
    <w:p>
      <w:pPr>
        <w:spacing w:line="560" w:lineRule="exact"/>
        <w:ind w:firstLine="640" w:firstLineChars="200"/>
        <w:rPr>
          <w:rFonts w:ascii="仿宋_GB2312" w:eastAsia="仿宋_GB2312"/>
          <w:sz w:val="32"/>
          <w:szCs w:val="32"/>
        </w:rPr>
      </w:pPr>
      <w:r>
        <w:rPr>
          <w:rFonts w:hint="eastAsia" w:ascii="楷体_GB2312" w:eastAsia="楷体_GB2312" w:cs="仿宋"/>
          <w:color w:val="000000"/>
          <w:sz w:val="32"/>
          <w:szCs w:val="32"/>
        </w:rPr>
        <w:t>1．完善“党建带群建”工作机制，加强基层组织改革。</w:t>
      </w:r>
      <w:r>
        <w:rPr>
          <w:rFonts w:hint="eastAsia" w:ascii="仿宋_GB2312" w:eastAsia="仿宋_GB2312"/>
          <w:sz w:val="32"/>
          <w:szCs w:val="32"/>
        </w:rPr>
        <w:t>围绕改革越往下越难推动、末端循环不畅等问题，积极探索有效指导基层科协发展和工作能力提升的方法、路径和载体，推动“三长制”扩面增效，健全科技志愿服务制度，创造性推动解决“四缺”问题，加强各级科协与中国科协的协同互动，汇聚系统资源，推动基层科协主动融入基层治理体系建设，提高科协基层组织的动员力、影响力。</w:t>
      </w:r>
    </w:p>
    <w:p>
      <w:pPr>
        <w:spacing w:line="560" w:lineRule="exact"/>
        <w:ind w:firstLine="640" w:firstLineChars="200"/>
        <w:rPr>
          <w:rFonts w:ascii="仿宋_GB2312" w:eastAsia="仿宋_GB2312"/>
          <w:sz w:val="32"/>
          <w:szCs w:val="32"/>
        </w:rPr>
      </w:pPr>
      <w:r>
        <w:rPr>
          <w:rFonts w:hint="eastAsia" w:ascii="楷体_GB2312" w:eastAsia="楷体_GB2312" w:cs="仿宋"/>
          <w:color w:val="000000"/>
          <w:sz w:val="32"/>
          <w:szCs w:val="32"/>
        </w:rPr>
        <w:t>2．助力科技经济融合发展。</w:t>
      </w:r>
      <w:r>
        <w:rPr>
          <w:rFonts w:hint="eastAsia" w:ascii="仿宋_GB2312" w:eastAsia="仿宋_GB2312"/>
          <w:sz w:val="32"/>
          <w:szCs w:val="32"/>
        </w:rPr>
        <w:t>围绕地方经济社会发展中的现实需求，建设“科创中国”地方品牌，探索建立会地合作、上下联动，资源整合、重心下移的工作机制，促进各类创新要素引向国内、引向基层、引向企业，为地方经济发展提供有针对性的服务，助力经济结构调整和转型升级。</w:t>
      </w:r>
    </w:p>
    <w:p>
      <w:pPr>
        <w:spacing w:line="560" w:lineRule="exact"/>
        <w:ind w:firstLine="640" w:firstLineChars="200"/>
        <w:rPr>
          <w:rFonts w:ascii="仿宋_GB2312" w:eastAsia="仿宋_GB2312"/>
          <w:sz w:val="32"/>
          <w:szCs w:val="32"/>
        </w:rPr>
      </w:pPr>
      <w:r>
        <w:rPr>
          <w:rFonts w:hint="eastAsia" w:ascii="楷体_GB2312" w:eastAsia="楷体_GB2312" w:cs="仿宋"/>
          <w:color w:val="000000"/>
          <w:sz w:val="32"/>
          <w:szCs w:val="32"/>
        </w:rPr>
        <w:t>3．助力科技精准扶贫。</w:t>
      </w:r>
      <w:r>
        <w:rPr>
          <w:rFonts w:hint="eastAsia" w:ascii="仿宋_GB2312" w:eastAsia="仿宋_GB2312"/>
          <w:sz w:val="32"/>
          <w:szCs w:val="32"/>
        </w:rPr>
        <w:t>聚焦剩余贫困人口、新致贫人口、返贫人口，加强智力帮扶，开展科技助力精准脱贫攻坚决战，讲好科技助力精准扶贫的中国故事。组织各级科协组织及学会共同推进农技专家服务站、乡镇农技协联合会（联合体）建设，推动相关产业发展、培育特色品牌，形成相关经验。</w:t>
      </w:r>
    </w:p>
    <w:p>
      <w:pPr>
        <w:spacing w:line="560" w:lineRule="exact"/>
        <w:ind w:firstLine="640" w:firstLineChars="200"/>
        <w:rPr>
          <w:rFonts w:ascii="仿宋_GB2312" w:eastAsia="仿宋_GB2312"/>
          <w:sz w:val="32"/>
          <w:szCs w:val="32"/>
        </w:rPr>
      </w:pPr>
      <w:r>
        <w:rPr>
          <w:rFonts w:hint="eastAsia" w:ascii="楷体_GB2312" w:eastAsia="楷体_GB2312" w:cs="仿宋"/>
          <w:color w:val="000000"/>
          <w:sz w:val="32"/>
          <w:szCs w:val="32"/>
        </w:rPr>
        <w:t>4．提升科技类公共服务产品供给能力。</w:t>
      </w:r>
      <w:r>
        <w:rPr>
          <w:rFonts w:hint="eastAsia" w:ascii="仿宋_GB2312" w:eastAsia="仿宋_GB2312"/>
          <w:sz w:val="32"/>
          <w:szCs w:val="32"/>
        </w:rPr>
        <w:t>结合新冠肺炎疫情防控中的科普工作情况，总结经验，完善体制机制，</w:t>
      </w:r>
      <w:r>
        <w:rPr>
          <w:rFonts w:hint="eastAsia" w:ascii="仿宋_GB2312" w:eastAsia="仿宋_GB2312" w:cs="仿宋"/>
          <w:color w:val="000000"/>
          <w:sz w:val="32"/>
          <w:szCs w:val="32"/>
        </w:rPr>
        <w:t>根据</w:t>
      </w:r>
      <w:r>
        <w:rPr>
          <w:rFonts w:hint="eastAsia" w:ascii="仿宋_GB2312" w:eastAsia="仿宋_GB2312"/>
          <w:sz w:val="32"/>
          <w:szCs w:val="32"/>
        </w:rPr>
        <w:t>自身工作实际和当地科普需求，有效利用科协系统科普资源，强化基层科普服务能力，推动“科普中国”等资源精准落地，创新科普手段和服务模式，构建与全面建成小康社会相适应的科普工作体系，有效提升当地公众科学素养。</w:t>
      </w:r>
    </w:p>
    <w:p>
      <w:pPr>
        <w:spacing w:line="560" w:lineRule="exact"/>
        <w:ind w:firstLine="640" w:firstLineChars="200"/>
        <w:rPr>
          <w:rFonts w:ascii="仿宋_GB2312" w:eastAsia="仿宋_GB2312"/>
          <w:sz w:val="32"/>
          <w:szCs w:val="32"/>
        </w:rPr>
      </w:pPr>
      <w:r>
        <w:rPr>
          <w:rFonts w:hint="eastAsia" w:ascii="楷体_GB2312" w:eastAsia="楷体_GB2312" w:cs="仿宋"/>
          <w:color w:val="000000"/>
          <w:sz w:val="32"/>
          <w:szCs w:val="32"/>
        </w:rPr>
        <w:t>5．改革联系服务科技工作者的体制机制。</w:t>
      </w:r>
      <w:r>
        <w:rPr>
          <w:rFonts w:hint="eastAsia" w:ascii="仿宋_GB2312" w:eastAsia="仿宋_GB2312"/>
          <w:sz w:val="32"/>
          <w:szCs w:val="32"/>
        </w:rPr>
        <w:t>聚焦增强对科技工作者的联系服务能力，结合实际情况扩大基层组织覆盖面，建设网上科协，构建纵横交织、条块结合、线上线下联动的组织体系，创新体制机制，着力解决科技工作者与科协组织联系不亲、不紧问题。</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五、试点成果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1．以体制机制改革为核心，探索建立一系列可推广、可复制的制度创新成果。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2．在全面推进改革任务落地中，突出本地区的特点和优势，形成一批典型经验和案例。</w:t>
      </w:r>
    </w:p>
    <w:p>
      <w:pPr>
        <w:widowControl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3．完成1份地方科协改革试点报告。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小标宋">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23150B"/>
    <w:rsid w:val="0B231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sz w:val="28"/>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2020-05-21T10:37:00Z</dcterms:created>
  <dc:creator>梅花拳20辈弟子方文龙</dc:creator>
  <cp:lastModifiedBy>梅花拳20辈弟子方文龙</cp:lastModifiedBy>
  <dcterms:modified xsi:type="dcterms:W3CDTF">2020-05-21T10:37:51Z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